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D50" w:rsidRPr="00B159A1" w:rsidRDefault="005E462E">
      <w:pPr>
        <w:rPr>
          <w:rFonts w:asciiTheme="minorHAnsi" w:hAnsiTheme="minorHAnsi"/>
        </w:rPr>
      </w:pPr>
      <w:bookmarkStart w:id="0" w:name="_GoBack"/>
      <w:bookmarkEnd w:id="0"/>
      <w:r w:rsidRPr="00B159A1">
        <w:rPr>
          <w:rFonts w:asciiTheme="minorHAnsi" w:hAnsiTheme="minorHAnsi"/>
          <w:noProof/>
        </w:rPr>
        <w:drawing>
          <wp:inline distT="0" distB="0" distL="0" distR="0">
            <wp:extent cx="3390900" cy="190738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omutov_2011_logo_RGB-3.jpg"/>
                    <pic:cNvPicPr/>
                  </pic:nvPicPr>
                  <pic:blipFill>
                    <a:blip r:embed="rId5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0472" cy="191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462E" w:rsidRPr="00B159A1" w:rsidRDefault="005E462E">
      <w:pPr>
        <w:rPr>
          <w:rFonts w:asciiTheme="minorHAnsi" w:hAnsiTheme="minorHAnsi"/>
        </w:rPr>
      </w:pPr>
    </w:p>
    <w:p w:rsidR="005E462E" w:rsidRPr="00B159A1" w:rsidRDefault="005E462E">
      <w:pPr>
        <w:rPr>
          <w:rFonts w:asciiTheme="minorHAnsi" w:hAnsiTheme="minorHAnsi"/>
        </w:rPr>
      </w:pPr>
    </w:p>
    <w:p w:rsidR="005E462E" w:rsidRPr="00B159A1" w:rsidRDefault="005E462E">
      <w:pPr>
        <w:rPr>
          <w:rFonts w:asciiTheme="minorHAnsi" w:hAnsiTheme="minorHAnsi"/>
        </w:rPr>
      </w:pPr>
    </w:p>
    <w:p w:rsidR="005E462E" w:rsidRPr="001E7FB0" w:rsidRDefault="005E462E" w:rsidP="005E462E">
      <w:pPr>
        <w:jc w:val="center"/>
        <w:rPr>
          <w:rFonts w:asciiTheme="minorHAnsi" w:hAnsiTheme="minorHAnsi"/>
          <w:b/>
          <w:color w:val="4F81BD" w:themeColor="accent1"/>
          <w:sz w:val="52"/>
        </w:rPr>
        <w:sectPr w:rsidR="005E462E" w:rsidRPr="001E7FB0" w:rsidSect="005E462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1E7FB0">
        <w:rPr>
          <w:rFonts w:asciiTheme="minorHAnsi" w:hAnsiTheme="minorHAnsi"/>
          <w:b/>
          <w:color w:val="4F81BD" w:themeColor="accent1"/>
          <w:sz w:val="52"/>
        </w:rPr>
        <w:t>Statistika hazard 2010 - 2020</w:t>
      </w:r>
    </w:p>
    <w:p w:rsidR="005E462E" w:rsidRPr="001E7FB0" w:rsidRDefault="005E462E" w:rsidP="005E462E">
      <w:pPr>
        <w:rPr>
          <w:rFonts w:asciiTheme="minorHAnsi" w:hAnsiTheme="minorHAnsi"/>
          <w:b/>
          <w:color w:val="4F81BD" w:themeColor="accent1"/>
          <w:sz w:val="36"/>
        </w:rPr>
      </w:pPr>
      <w:r w:rsidRPr="001E7FB0">
        <w:rPr>
          <w:rFonts w:asciiTheme="minorHAnsi" w:hAnsiTheme="minorHAnsi"/>
          <w:b/>
          <w:color w:val="4F81BD" w:themeColor="accent1"/>
          <w:sz w:val="36"/>
        </w:rPr>
        <w:lastRenderedPageBreak/>
        <w:t>Počet heren ve městě Chomutov 2010 - 2020</w:t>
      </w:r>
    </w:p>
    <w:p w:rsidR="005E462E" w:rsidRPr="00B159A1" w:rsidRDefault="005E462E" w:rsidP="005E462E">
      <w:pPr>
        <w:jc w:val="center"/>
        <w:rPr>
          <w:rFonts w:asciiTheme="minorHAnsi" w:hAnsiTheme="minorHAnsi"/>
          <w:color w:val="4F81BD" w:themeColor="accent1"/>
          <w:sz w:val="52"/>
        </w:rPr>
      </w:pPr>
    </w:p>
    <w:p w:rsidR="005E462E" w:rsidRPr="00B159A1" w:rsidRDefault="005E462E" w:rsidP="005E462E">
      <w:pPr>
        <w:jc w:val="center"/>
        <w:rPr>
          <w:rFonts w:asciiTheme="minorHAnsi" w:hAnsiTheme="minorHAnsi"/>
          <w:color w:val="4F81BD" w:themeColor="accent1"/>
          <w:sz w:val="52"/>
        </w:rPr>
      </w:pPr>
      <w:r w:rsidRPr="00B159A1">
        <w:rPr>
          <w:rFonts w:asciiTheme="minorHAnsi" w:hAnsiTheme="minorHAnsi"/>
          <w:noProof/>
          <w:color w:val="4F81BD" w:themeColor="accent1"/>
          <w:sz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6262370</wp:posOffset>
            </wp:positionH>
            <wp:positionV relativeFrom="paragraph">
              <wp:posOffset>457200</wp:posOffset>
            </wp:positionV>
            <wp:extent cx="1897045" cy="1066800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omutov_2011_logo_RGB-5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0477" cy="10743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59A1">
        <w:rPr>
          <w:rFonts w:asciiTheme="minorHAnsi" w:hAnsiTheme="minorHAnsi"/>
          <w:noProof/>
        </w:rPr>
        <w:drawing>
          <wp:inline distT="0" distB="0" distL="0" distR="0" wp14:anchorId="03367FFB" wp14:editId="7F96D34E">
            <wp:extent cx="8743950" cy="5038725"/>
            <wp:effectExtent l="0" t="0" r="0" b="9525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E462E" w:rsidRPr="001E7FB0" w:rsidRDefault="005E462E" w:rsidP="005E462E">
      <w:pPr>
        <w:rPr>
          <w:rFonts w:asciiTheme="minorHAnsi" w:hAnsiTheme="minorHAnsi"/>
          <w:b/>
          <w:color w:val="4F81BD" w:themeColor="accent1"/>
          <w:sz w:val="36"/>
        </w:rPr>
      </w:pPr>
      <w:r w:rsidRPr="001E7FB0">
        <w:rPr>
          <w:rFonts w:asciiTheme="minorHAnsi" w:hAnsiTheme="minorHAnsi"/>
          <w:b/>
          <w:color w:val="4F81BD" w:themeColor="accent1"/>
          <w:sz w:val="36"/>
        </w:rPr>
        <w:lastRenderedPageBreak/>
        <w:t>Počet hazardních zařízení ve městě Chomutov 2010 – 2020</w:t>
      </w:r>
    </w:p>
    <w:p w:rsidR="005E462E" w:rsidRPr="00B159A1" w:rsidRDefault="005E462E" w:rsidP="005E462E">
      <w:pPr>
        <w:rPr>
          <w:rFonts w:asciiTheme="minorHAnsi" w:hAnsiTheme="minorHAnsi"/>
          <w:color w:val="4F81BD" w:themeColor="accent1"/>
          <w:sz w:val="36"/>
        </w:rPr>
      </w:pPr>
    </w:p>
    <w:p w:rsidR="005E462E" w:rsidRPr="00B159A1" w:rsidRDefault="005E462E" w:rsidP="005E462E">
      <w:pPr>
        <w:rPr>
          <w:rFonts w:asciiTheme="minorHAnsi" w:hAnsiTheme="minorHAnsi"/>
          <w:color w:val="4F81BD" w:themeColor="accent1"/>
          <w:sz w:val="36"/>
        </w:rPr>
      </w:pPr>
      <w:r w:rsidRPr="00B159A1">
        <w:rPr>
          <w:rFonts w:asciiTheme="minorHAnsi" w:hAnsiTheme="minorHAnsi"/>
          <w:noProof/>
        </w:rPr>
        <w:drawing>
          <wp:inline distT="0" distB="0" distL="0" distR="0" wp14:anchorId="3023A1A5" wp14:editId="3816EC78">
            <wp:extent cx="8829675" cy="5095875"/>
            <wp:effectExtent l="0" t="0" r="9525" b="9525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E462E" w:rsidRPr="001E7FB0" w:rsidRDefault="005E462E" w:rsidP="005E462E">
      <w:pPr>
        <w:rPr>
          <w:rFonts w:asciiTheme="minorHAnsi" w:hAnsiTheme="minorHAnsi"/>
          <w:b/>
          <w:color w:val="4F81BD" w:themeColor="accent1"/>
          <w:sz w:val="36"/>
        </w:rPr>
      </w:pPr>
      <w:r w:rsidRPr="001E7FB0">
        <w:rPr>
          <w:rFonts w:asciiTheme="minorHAnsi" w:hAnsiTheme="minorHAnsi"/>
          <w:b/>
          <w:color w:val="4F81BD" w:themeColor="accent1"/>
          <w:sz w:val="36"/>
        </w:rPr>
        <w:lastRenderedPageBreak/>
        <w:t>Výnosy z hazardu ve městě Chomutov 2010 – 2020</w:t>
      </w:r>
    </w:p>
    <w:p w:rsidR="005E462E" w:rsidRPr="00B159A1" w:rsidRDefault="005E462E" w:rsidP="005E462E">
      <w:pPr>
        <w:rPr>
          <w:rFonts w:asciiTheme="minorHAnsi" w:hAnsiTheme="minorHAnsi"/>
          <w:color w:val="4F81BD" w:themeColor="accent1"/>
          <w:sz w:val="36"/>
        </w:rPr>
      </w:pPr>
    </w:p>
    <w:p w:rsidR="005E462E" w:rsidRPr="00B159A1" w:rsidRDefault="005E462E" w:rsidP="005E462E">
      <w:pPr>
        <w:rPr>
          <w:rFonts w:asciiTheme="minorHAnsi" w:hAnsiTheme="minorHAnsi"/>
          <w:noProof/>
        </w:rPr>
      </w:pPr>
      <w:r w:rsidRPr="00B159A1">
        <w:rPr>
          <w:rFonts w:asciiTheme="minorHAnsi" w:hAnsiTheme="minorHAns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6243320</wp:posOffset>
            </wp:positionH>
            <wp:positionV relativeFrom="paragraph">
              <wp:posOffset>583565</wp:posOffset>
            </wp:positionV>
            <wp:extent cx="1897200" cy="1065600"/>
            <wp:effectExtent l="0" t="0" r="0" b="0"/>
            <wp:wrapNone/>
            <wp:docPr id="7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200" cy="106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59A1">
        <w:rPr>
          <w:rFonts w:asciiTheme="minorHAnsi" w:hAnsiTheme="minorHAnsi"/>
          <w:noProof/>
        </w:rPr>
        <w:drawing>
          <wp:inline distT="0" distB="0" distL="0" distR="0" wp14:anchorId="1D7C849A" wp14:editId="46B58477">
            <wp:extent cx="8829675" cy="4953000"/>
            <wp:effectExtent l="0" t="0" r="9525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B159A1">
        <w:rPr>
          <w:rFonts w:asciiTheme="minorHAnsi" w:hAnsiTheme="minorHAnsi"/>
          <w:noProof/>
        </w:rPr>
        <w:t xml:space="preserve"> </w:t>
      </w:r>
    </w:p>
    <w:p w:rsidR="005E462E" w:rsidRPr="00B159A1" w:rsidRDefault="005E462E" w:rsidP="005E462E">
      <w:pPr>
        <w:rPr>
          <w:rFonts w:asciiTheme="minorHAnsi" w:hAnsiTheme="minorHAnsi"/>
          <w:noProof/>
        </w:rPr>
      </w:pPr>
    </w:p>
    <w:p w:rsidR="001E7FB0" w:rsidRDefault="001E7FB0" w:rsidP="005E462E">
      <w:pPr>
        <w:rPr>
          <w:rFonts w:asciiTheme="minorHAnsi" w:hAnsiTheme="minorHAnsi"/>
          <w:b/>
          <w:color w:val="4F81BD" w:themeColor="accent1"/>
          <w:sz w:val="36"/>
        </w:rPr>
      </w:pPr>
      <w:r w:rsidRPr="001E7FB0">
        <w:rPr>
          <w:rFonts w:asciiTheme="minorHAnsi" w:hAnsiTheme="minorHAnsi"/>
          <w:b/>
          <w:color w:val="4F81BD" w:themeColor="accent1"/>
          <w:sz w:val="36"/>
        </w:rPr>
        <w:lastRenderedPageBreak/>
        <w:t>Vývoj regulace hazardu ve městě Chomutov</w:t>
      </w:r>
    </w:p>
    <w:p w:rsidR="001E7FB0" w:rsidRPr="001E7FB0" w:rsidRDefault="001E7FB0" w:rsidP="005E462E">
      <w:pPr>
        <w:rPr>
          <w:rFonts w:asciiTheme="minorHAnsi" w:hAnsiTheme="minorHAnsi"/>
          <w:b/>
          <w:color w:val="4F81BD" w:themeColor="accent1"/>
          <w:sz w:val="36"/>
        </w:rPr>
      </w:pPr>
    </w:p>
    <w:p w:rsidR="005E462E" w:rsidRDefault="005E462E" w:rsidP="005E462E">
      <w:pPr>
        <w:rPr>
          <w:rFonts w:asciiTheme="minorHAnsi" w:hAnsiTheme="minorHAnsi"/>
          <w:color w:val="4F81BD" w:themeColor="accent1"/>
          <w:sz w:val="36"/>
        </w:rPr>
      </w:pPr>
      <w:r w:rsidRPr="00B159A1">
        <w:rPr>
          <w:rFonts w:asciiTheme="minorHAnsi" w:hAnsiTheme="minorHAnsi"/>
          <w:noProof/>
        </w:rPr>
        <w:drawing>
          <wp:inline distT="0" distB="0" distL="0" distR="0" wp14:anchorId="15C0984B" wp14:editId="7B2CCAC6">
            <wp:extent cx="8891270" cy="5122545"/>
            <wp:effectExtent l="0" t="0" r="5080" b="1905"/>
            <wp:docPr id="8" name="Obrázek 4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4" descr="image00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512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B159A1" w:rsidRPr="001E7FB0" w:rsidRDefault="00B159A1" w:rsidP="005E462E">
      <w:pPr>
        <w:rPr>
          <w:rFonts w:asciiTheme="minorHAnsi" w:hAnsiTheme="minorHAnsi"/>
          <w:b/>
          <w:color w:val="4F81BD" w:themeColor="accent1"/>
          <w:sz w:val="36"/>
        </w:rPr>
      </w:pPr>
      <w:r w:rsidRPr="001E7FB0">
        <w:rPr>
          <w:rFonts w:asciiTheme="minorHAnsi" w:hAnsiTheme="minorHAnsi"/>
          <w:b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663C5FBE" wp14:editId="3531FC4E">
            <wp:simplePos x="0" y="0"/>
            <wp:positionH relativeFrom="column">
              <wp:posOffset>6524625</wp:posOffset>
            </wp:positionH>
            <wp:positionV relativeFrom="paragraph">
              <wp:posOffset>-449</wp:posOffset>
            </wp:positionV>
            <wp:extent cx="1897200" cy="1065600"/>
            <wp:effectExtent l="0" t="0" r="0" b="0"/>
            <wp:wrapNone/>
            <wp:docPr id="9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200" cy="106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E7FB0">
        <w:rPr>
          <w:rFonts w:asciiTheme="minorHAnsi" w:hAnsiTheme="minorHAnsi"/>
          <w:b/>
          <w:color w:val="4F81BD" w:themeColor="accent1"/>
          <w:sz w:val="36"/>
        </w:rPr>
        <w:t>Souhrnná statistika hazardu 2010 – 2020</w:t>
      </w:r>
    </w:p>
    <w:p w:rsidR="00B159A1" w:rsidRPr="00B159A1" w:rsidRDefault="00B159A1" w:rsidP="005E462E">
      <w:pPr>
        <w:rPr>
          <w:rFonts w:asciiTheme="minorHAnsi" w:hAnsiTheme="minorHAnsi"/>
          <w:color w:val="4F81BD" w:themeColor="accent1"/>
          <w:sz w:val="36"/>
        </w:rPr>
      </w:pPr>
    </w:p>
    <w:p w:rsidR="00B159A1" w:rsidRPr="00B159A1" w:rsidRDefault="00B159A1" w:rsidP="005E462E">
      <w:pPr>
        <w:rPr>
          <w:rFonts w:asciiTheme="minorHAnsi" w:hAnsiTheme="minorHAnsi"/>
          <w:color w:val="4F81BD" w:themeColor="accent1"/>
          <w:sz w:val="36"/>
        </w:rPr>
      </w:pPr>
    </w:p>
    <w:p w:rsidR="00B159A1" w:rsidRPr="00B159A1" w:rsidRDefault="00B159A1" w:rsidP="005E462E">
      <w:pPr>
        <w:rPr>
          <w:rFonts w:asciiTheme="minorHAnsi" w:hAnsiTheme="minorHAnsi"/>
          <w:color w:val="4F81BD" w:themeColor="accent1"/>
          <w:sz w:val="36"/>
        </w:rPr>
      </w:pPr>
    </w:p>
    <w:tbl>
      <w:tblPr>
        <w:tblW w:w="13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3969"/>
        <w:gridCol w:w="3969"/>
        <w:gridCol w:w="3969"/>
      </w:tblGrid>
      <w:tr w:rsidR="00B159A1" w:rsidRPr="00B159A1" w:rsidTr="00B159A1">
        <w:trPr>
          <w:trHeight w:val="94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b/>
                <w:bCs/>
                <w:color w:val="FFFFFF"/>
                <w:sz w:val="32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b/>
                <w:bCs/>
                <w:color w:val="FFFFFF"/>
                <w:sz w:val="32"/>
                <w:szCs w:val="22"/>
              </w:rPr>
              <w:t>Počet heren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b/>
                <w:bCs/>
                <w:color w:val="FFFFFF"/>
                <w:sz w:val="32"/>
                <w:szCs w:val="22"/>
              </w:rPr>
              <w:t>Počet technických herních zařízení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vAlign w:val="center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color w:val="FFFFFF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b/>
                <w:bCs/>
                <w:color w:val="FFFFFF"/>
                <w:sz w:val="32"/>
                <w:szCs w:val="22"/>
              </w:rPr>
              <w:t>Výnosy z hazardu v mil. Kč</w:t>
            </w:r>
          </w:p>
        </w:tc>
      </w:tr>
      <w:tr w:rsidR="00B159A1" w:rsidRPr="00B159A1" w:rsidTr="00B159A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2010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63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763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3,4</w:t>
            </w:r>
          </w:p>
        </w:tc>
      </w:tr>
      <w:tr w:rsidR="00B159A1" w:rsidRPr="00B159A1" w:rsidTr="00B159A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2011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665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9,2</w:t>
            </w:r>
          </w:p>
        </w:tc>
      </w:tr>
      <w:tr w:rsidR="00B159A1" w:rsidRPr="00B159A1" w:rsidTr="00B159A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2012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468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25,5</w:t>
            </w:r>
          </w:p>
        </w:tc>
      </w:tr>
      <w:tr w:rsidR="00B159A1" w:rsidRPr="00B159A1" w:rsidTr="00B159A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2013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430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35,0</w:t>
            </w:r>
          </w:p>
        </w:tc>
      </w:tr>
      <w:tr w:rsidR="00B159A1" w:rsidRPr="00B159A1" w:rsidTr="00B159A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2014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276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30,9</w:t>
            </w:r>
          </w:p>
        </w:tc>
      </w:tr>
      <w:tr w:rsidR="00B159A1" w:rsidRPr="00B159A1" w:rsidTr="00B159A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2015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14,9</w:t>
            </w:r>
          </w:p>
        </w:tc>
      </w:tr>
      <w:tr w:rsidR="00B159A1" w:rsidRPr="00B159A1" w:rsidTr="00B159A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2016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6,5</w:t>
            </w:r>
          </w:p>
        </w:tc>
      </w:tr>
      <w:tr w:rsidR="00B159A1" w:rsidRPr="00B159A1" w:rsidTr="00B159A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2017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4,7</w:t>
            </w:r>
          </w:p>
        </w:tc>
      </w:tr>
      <w:tr w:rsidR="00B159A1" w:rsidRPr="00B159A1" w:rsidTr="00B159A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2018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4,9</w:t>
            </w:r>
          </w:p>
        </w:tc>
      </w:tr>
      <w:tr w:rsidR="00B159A1" w:rsidRPr="00B159A1" w:rsidTr="00B159A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2019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4,7</w:t>
            </w:r>
          </w:p>
        </w:tc>
      </w:tr>
      <w:tr w:rsidR="00B159A1" w:rsidRPr="00B159A1" w:rsidTr="00B159A1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2020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B159A1" w:rsidRPr="00B159A1" w:rsidRDefault="00B159A1" w:rsidP="00B159A1">
            <w:pPr>
              <w:jc w:val="center"/>
              <w:rPr>
                <w:rFonts w:asciiTheme="minorHAnsi" w:eastAsia="Times New Roman" w:hAnsiTheme="minorHAnsi" w:cs="Times New Roman"/>
                <w:color w:val="000000"/>
                <w:sz w:val="32"/>
                <w:szCs w:val="22"/>
              </w:rPr>
            </w:pPr>
            <w:r w:rsidRPr="00B159A1">
              <w:rPr>
                <w:rFonts w:asciiTheme="minorHAnsi" w:eastAsia="Times New Roman" w:hAnsiTheme="minorHAnsi" w:cs="Times New Roman"/>
                <w:color w:val="000000"/>
                <w:sz w:val="28"/>
                <w:szCs w:val="22"/>
              </w:rPr>
              <w:t>Rozpočtován pouze podíl na loteriích, které nelze regulovat (sazka, sportka, kursové sázky) </w:t>
            </w:r>
          </w:p>
        </w:tc>
      </w:tr>
    </w:tbl>
    <w:p w:rsidR="00B159A1" w:rsidRPr="00B159A1" w:rsidRDefault="00B159A1" w:rsidP="005E462E">
      <w:pPr>
        <w:rPr>
          <w:rFonts w:asciiTheme="minorHAnsi" w:hAnsiTheme="minorHAnsi"/>
          <w:color w:val="4F81BD" w:themeColor="accent1"/>
          <w:sz w:val="36"/>
        </w:rPr>
      </w:pPr>
    </w:p>
    <w:p w:rsidR="005E462E" w:rsidRDefault="005E462E">
      <w:pPr>
        <w:rPr>
          <w:rFonts w:asciiTheme="minorHAnsi" w:hAnsiTheme="minorHAnsi"/>
        </w:rPr>
      </w:pPr>
    </w:p>
    <w:p w:rsidR="00392034" w:rsidRDefault="00392034">
      <w:pPr>
        <w:rPr>
          <w:rFonts w:asciiTheme="minorHAnsi" w:hAnsiTheme="minorHAnsi"/>
        </w:rPr>
      </w:pPr>
    </w:p>
    <w:p w:rsidR="00392034" w:rsidRDefault="00392034">
      <w:pPr>
        <w:rPr>
          <w:rFonts w:asciiTheme="minorHAnsi" w:hAnsiTheme="minorHAnsi"/>
        </w:rPr>
      </w:pPr>
    </w:p>
    <w:p w:rsidR="00392034" w:rsidRPr="009428B6" w:rsidRDefault="009862CD">
      <w:pPr>
        <w:rPr>
          <w:rFonts w:asciiTheme="minorHAnsi" w:hAnsiTheme="minorHAnsi"/>
          <w:b/>
          <w:color w:val="4F81BD" w:themeColor="accent1"/>
          <w:sz w:val="44"/>
        </w:rPr>
      </w:pPr>
      <w:r>
        <w:rPr>
          <w:rFonts w:asciiTheme="minorHAnsi" w:hAnsiTheme="minorHAnsi"/>
          <w:b/>
          <w:color w:val="4F81BD" w:themeColor="accent1"/>
          <w:sz w:val="44"/>
        </w:rPr>
        <w:lastRenderedPageBreak/>
        <w:t>Situace v okolních obcí</w:t>
      </w:r>
    </w:p>
    <w:p w:rsidR="00392034" w:rsidRDefault="00392034">
      <w:pPr>
        <w:rPr>
          <w:rFonts w:asciiTheme="minorHAnsi" w:hAnsiTheme="minorHAnsi"/>
          <w:b/>
          <w:color w:val="4F81BD" w:themeColor="accent1"/>
          <w:sz w:val="36"/>
        </w:rPr>
      </w:pPr>
    </w:p>
    <w:p w:rsidR="009862CD" w:rsidRPr="009862CD" w:rsidRDefault="009862CD">
      <w:pPr>
        <w:rPr>
          <w:rFonts w:asciiTheme="minorHAnsi" w:hAnsiTheme="minorHAnsi"/>
          <w:b/>
          <w:color w:val="4F81BD" w:themeColor="accent1"/>
          <w:sz w:val="36"/>
        </w:rPr>
      </w:pPr>
      <w:r w:rsidRPr="009862CD">
        <w:rPr>
          <w:rFonts w:asciiTheme="minorHAnsi" w:hAnsiTheme="minorHAnsi"/>
          <w:b/>
          <w:color w:val="4F81BD" w:themeColor="accent1"/>
          <w:sz w:val="36"/>
        </w:rPr>
        <w:t>OTVICE</w:t>
      </w:r>
    </w:p>
    <w:p w:rsidR="009862CD" w:rsidRDefault="009862CD">
      <w:pPr>
        <w:rPr>
          <w:rFonts w:asciiTheme="minorHAnsi" w:hAnsiTheme="minorHAnsi"/>
          <w:b/>
          <w:sz w:val="36"/>
        </w:rPr>
      </w:pPr>
    </w:p>
    <w:p w:rsidR="009428B6" w:rsidRPr="009428B6" w:rsidRDefault="009428B6">
      <w:pPr>
        <w:rPr>
          <w:rFonts w:asciiTheme="minorHAnsi" w:hAnsiTheme="minorHAnsi"/>
          <w:b/>
          <w:sz w:val="36"/>
        </w:rPr>
      </w:pPr>
      <w:r w:rsidRPr="009428B6">
        <w:rPr>
          <w:rFonts w:asciiTheme="minorHAnsi" w:hAnsiTheme="minorHAnsi"/>
          <w:b/>
          <w:sz w:val="36"/>
        </w:rPr>
        <w:t xml:space="preserve">Před vznikem </w:t>
      </w:r>
      <w:proofErr w:type="spellStart"/>
      <w:r w:rsidRPr="009428B6">
        <w:rPr>
          <w:rFonts w:asciiTheme="minorHAnsi" w:hAnsiTheme="minorHAnsi"/>
          <w:b/>
          <w:sz w:val="36"/>
        </w:rPr>
        <w:t>Casina</w:t>
      </w:r>
      <w:proofErr w:type="spellEnd"/>
      <w:r w:rsidRPr="009428B6">
        <w:rPr>
          <w:rFonts w:asciiTheme="minorHAnsi" w:hAnsiTheme="minorHAnsi"/>
          <w:b/>
          <w:sz w:val="36"/>
        </w:rPr>
        <w:t xml:space="preserve">: </w:t>
      </w:r>
    </w:p>
    <w:p w:rsidR="009428B6" w:rsidRPr="009428B6" w:rsidRDefault="009428B6">
      <w:pPr>
        <w:rPr>
          <w:rFonts w:asciiTheme="minorHAnsi" w:hAnsiTheme="minorHAnsi"/>
          <w:b/>
          <w:sz w:val="36"/>
        </w:rPr>
      </w:pPr>
    </w:p>
    <w:p w:rsidR="00392034" w:rsidRPr="009428B6" w:rsidRDefault="009625A6" w:rsidP="009428B6">
      <w:pPr>
        <w:pStyle w:val="Odstavecseseznamem"/>
        <w:numPr>
          <w:ilvl w:val="0"/>
          <w:numId w:val="2"/>
        </w:numPr>
        <w:rPr>
          <w:rFonts w:asciiTheme="minorHAnsi" w:hAnsiTheme="minorHAnsi"/>
          <w:b/>
          <w:sz w:val="36"/>
        </w:rPr>
      </w:pPr>
      <w:r w:rsidRPr="009428B6">
        <w:rPr>
          <w:rFonts w:asciiTheme="minorHAnsi" w:hAnsiTheme="minorHAnsi"/>
          <w:b/>
          <w:sz w:val="36"/>
        </w:rPr>
        <w:t xml:space="preserve">2017 </w:t>
      </w:r>
      <w:r w:rsidR="00392034" w:rsidRPr="009428B6">
        <w:rPr>
          <w:rFonts w:asciiTheme="minorHAnsi" w:hAnsiTheme="minorHAnsi"/>
          <w:b/>
          <w:sz w:val="36"/>
        </w:rPr>
        <w:t xml:space="preserve"> 40</w:t>
      </w:r>
      <w:r w:rsidRPr="009428B6">
        <w:rPr>
          <w:rFonts w:asciiTheme="minorHAnsi" w:hAnsiTheme="minorHAnsi"/>
          <w:b/>
          <w:sz w:val="36"/>
        </w:rPr>
        <w:t>,1</w:t>
      </w:r>
      <w:r w:rsidR="00392034" w:rsidRPr="009428B6">
        <w:rPr>
          <w:rFonts w:asciiTheme="minorHAnsi" w:hAnsiTheme="minorHAnsi"/>
          <w:b/>
          <w:sz w:val="36"/>
        </w:rPr>
        <w:t xml:space="preserve"> tis. Kč</w:t>
      </w:r>
    </w:p>
    <w:p w:rsidR="00392034" w:rsidRPr="009428B6" w:rsidRDefault="00392034" w:rsidP="009428B6">
      <w:pPr>
        <w:pStyle w:val="Odstavecseseznamem"/>
        <w:numPr>
          <w:ilvl w:val="0"/>
          <w:numId w:val="2"/>
        </w:numPr>
        <w:rPr>
          <w:rFonts w:asciiTheme="minorHAnsi" w:hAnsiTheme="minorHAnsi"/>
          <w:b/>
          <w:sz w:val="36"/>
        </w:rPr>
      </w:pPr>
      <w:r w:rsidRPr="009428B6">
        <w:rPr>
          <w:rFonts w:asciiTheme="minorHAnsi" w:hAnsiTheme="minorHAnsi"/>
          <w:b/>
          <w:sz w:val="36"/>
        </w:rPr>
        <w:t>2018</w:t>
      </w:r>
      <w:r w:rsidR="009625A6" w:rsidRPr="009428B6">
        <w:rPr>
          <w:rFonts w:asciiTheme="minorHAnsi" w:hAnsiTheme="minorHAnsi"/>
          <w:b/>
          <w:sz w:val="36"/>
        </w:rPr>
        <w:t xml:space="preserve"> </w:t>
      </w:r>
      <w:r w:rsidR="009428B6" w:rsidRPr="009428B6">
        <w:rPr>
          <w:rFonts w:asciiTheme="minorHAnsi" w:hAnsiTheme="minorHAnsi"/>
          <w:b/>
          <w:sz w:val="36"/>
        </w:rPr>
        <w:t xml:space="preserve"> </w:t>
      </w:r>
      <w:r w:rsidR="009625A6" w:rsidRPr="009428B6">
        <w:rPr>
          <w:rFonts w:asciiTheme="minorHAnsi" w:hAnsiTheme="minorHAnsi"/>
          <w:b/>
          <w:sz w:val="36"/>
        </w:rPr>
        <w:t>43,8 tis. Kč</w:t>
      </w:r>
    </w:p>
    <w:p w:rsidR="009625A6" w:rsidRPr="009428B6" w:rsidRDefault="009625A6">
      <w:pPr>
        <w:rPr>
          <w:rFonts w:asciiTheme="minorHAnsi" w:hAnsiTheme="minorHAnsi"/>
          <w:b/>
          <w:sz w:val="36"/>
        </w:rPr>
      </w:pPr>
    </w:p>
    <w:p w:rsidR="009428B6" w:rsidRDefault="009428B6">
      <w:pPr>
        <w:rPr>
          <w:rFonts w:asciiTheme="minorHAnsi" w:hAnsiTheme="minorHAnsi"/>
          <w:b/>
          <w:sz w:val="36"/>
        </w:rPr>
      </w:pPr>
      <w:r w:rsidRPr="009428B6">
        <w:rPr>
          <w:rFonts w:asciiTheme="minorHAnsi" w:hAnsiTheme="minorHAnsi"/>
          <w:b/>
          <w:sz w:val="36"/>
        </w:rPr>
        <w:t xml:space="preserve">Po vzniku </w:t>
      </w:r>
      <w:proofErr w:type="spellStart"/>
      <w:r w:rsidRPr="009428B6">
        <w:rPr>
          <w:rFonts w:asciiTheme="minorHAnsi" w:hAnsiTheme="minorHAnsi"/>
          <w:b/>
          <w:sz w:val="36"/>
        </w:rPr>
        <w:t>Casina</w:t>
      </w:r>
      <w:proofErr w:type="spellEnd"/>
      <w:r w:rsidRPr="009428B6">
        <w:rPr>
          <w:rFonts w:asciiTheme="minorHAnsi" w:hAnsiTheme="minorHAnsi"/>
          <w:b/>
          <w:sz w:val="36"/>
        </w:rPr>
        <w:t xml:space="preserve">: </w:t>
      </w:r>
    </w:p>
    <w:p w:rsidR="009428B6" w:rsidRPr="009428B6" w:rsidRDefault="009428B6">
      <w:pPr>
        <w:rPr>
          <w:rFonts w:asciiTheme="minorHAnsi" w:hAnsiTheme="minorHAnsi"/>
          <w:b/>
          <w:sz w:val="36"/>
        </w:rPr>
      </w:pPr>
      <w:r w:rsidRPr="009428B6">
        <w:rPr>
          <w:rFonts w:asciiTheme="minorHAnsi" w:hAnsiTheme="minorHAnsi"/>
          <w:b/>
          <w:sz w:val="36"/>
        </w:rPr>
        <w:t>1 herní prostor, povoleno: 40x technické zařízení, 4x živá hra</w:t>
      </w:r>
      <w:r w:rsidR="000420A6">
        <w:rPr>
          <w:rFonts w:asciiTheme="minorHAnsi" w:hAnsiTheme="minorHAnsi"/>
          <w:b/>
          <w:sz w:val="36"/>
        </w:rPr>
        <w:t xml:space="preserve"> (pozn. živá hra v objektu není)</w:t>
      </w:r>
    </w:p>
    <w:p w:rsidR="009428B6" w:rsidRPr="009428B6" w:rsidRDefault="009428B6">
      <w:pPr>
        <w:rPr>
          <w:rFonts w:asciiTheme="minorHAnsi" w:hAnsiTheme="minorHAnsi"/>
          <w:b/>
          <w:sz w:val="36"/>
        </w:rPr>
      </w:pPr>
    </w:p>
    <w:p w:rsidR="009428B6" w:rsidRPr="000420A6" w:rsidRDefault="009428B6">
      <w:pPr>
        <w:rPr>
          <w:rFonts w:asciiTheme="minorHAnsi" w:hAnsiTheme="minorHAnsi"/>
          <w:b/>
          <w:color w:val="4F81BD" w:themeColor="accent1"/>
          <w:sz w:val="36"/>
        </w:rPr>
      </w:pPr>
      <w:r>
        <w:rPr>
          <w:rFonts w:asciiTheme="minorHAnsi" w:hAnsiTheme="minorHAnsi"/>
          <w:b/>
          <w:sz w:val="36"/>
        </w:rPr>
        <w:t xml:space="preserve">Skutečnost k </w:t>
      </w:r>
      <w:r w:rsidR="000420A6">
        <w:rPr>
          <w:rFonts w:asciiTheme="minorHAnsi" w:hAnsiTheme="minorHAnsi"/>
          <w:b/>
          <w:sz w:val="36"/>
        </w:rPr>
        <w:t>12</w:t>
      </w:r>
      <w:r w:rsidR="009625A6" w:rsidRPr="009428B6">
        <w:rPr>
          <w:rFonts w:asciiTheme="minorHAnsi" w:hAnsiTheme="minorHAnsi"/>
          <w:b/>
          <w:sz w:val="36"/>
        </w:rPr>
        <w:t xml:space="preserve">/2019  </w:t>
      </w:r>
      <w:r>
        <w:rPr>
          <w:rFonts w:asciiTheme="minorHAnsi" w:hAnsiTheme="minorHAnsi"/>
          <w:b/>
          <w:sz w:val="36"/>
        </w:rPr>
        <w:t xml:space="preserve"> </w:t>
      </w:r>
      <w:r w:rsidR="000420A6" w:rsidRPr="000420A6">
        <w:rPr>
          <w:rFonts w:asciiTheme="minorHAnsi" w:hAnsiTheme="minorHAnsi"/>
          <w:b/>
          <w:color w:val="4F81BD" w:themeColor="accent1"/>
          <w:sz w:val="36"/>
        </w:rPr>
        <w:t>2.009</w:t>
      </w:r>
      <w:r w:rsidR="009625A6" w:rsidRPr="000420A6">
        <w:rPr>
          <w:rFonts w:asciiTheme="minorHAnsi" w:hAnsiTheme="minorHAnsi"/>
          <w:b/>
          <w:color w:val="4F81BD" w:themeColor="accent1"/>
          <w:sz w:val="36"/>
        </w:rPr>
        <w:t xml:space="preserve">,3 tis. Kč </w:t>
      </w:r>
    </w:p>
    <w:p w:rsidR="009625A6" w:rsidRDefault="000420A6">
      <w:pPr>
        <w:rPr>
          <w:rFonts w:asciiTheme="minorHAnsi" w:hAnsiTheme="minorHAnsi"/>
          <w:b/>
          <w:sz w:val="36"/>
        </w:rPr>
      </w:pPr>
      <w:r>
        <w:rPr>
          <w:rFonts w:asciiTheme="minorHAnsi" w:hAnsiTheme="minorHAnsi"/>
          <w:b/>
          <w:sz w:val="36"/>
        </w:rPr>
        <w:t>Otvice schválený rozpočet hazard 50 tis. Kč, upravený rozpočet 1.922,0 tis. Kč, skutečnost 2.009,3 tis. Kč</w:t>
      </w:r>
      <w:r w:rsidR="009428B6">
        <w:rPr>
          <w:rFonts w:asciiTheme="minorHAnsi" w:hAnsiTheme="minorHAnsi"/>
          <w:b/>
          <w:sz w:val="36"/>
        </w:rPr>
        <w:t>. První rok zkreslení vždy chybí jedno čtvrtletí.</w:t>
      </w:r>
    </w:p>
    <w:p w:rsidR="009428B6" w:rsidRDefault="009428B6">
      <w:pPr>
        <w:rPr>
          <w:rFonts w:asciiTheme="minorHAnsi" w:hAnsiTheme="minorHAnsi"/>
          <w:b/>
          <w:sz w:val="36"/>
        </w:rPr>
      </w:pPr>
      <w:r>
        <w:rPr>
          <w:rFonts w:asciiTheme="minorHAnsi" w:hAnsiTheme="minorHAnsi"/>
          <w:b/>
          <w:sz w:val="36"/>
        </w:rPr>
        <w:t xml:space="preserve">Očekávané výnosy cca </w:t>
      </w:r>
      <w:r w:rsidR="000420A6">
        <w:rPr>
          <w:rFonts w:asciiTheme="minorHAnsi" w:hAnsiTheme="minorHAnsi"/>
          <w:b/>
          <w:sz w:val="36"/>
        </w:rPr>
        <w:t>40</w:t>
      </w:r>
      <w:r>
        <w:rPr>
          <w:rFonts w:asciiTheme="minorHAnsi" w:hAnsiTheme="minorHAnsi"/>
          <w:b/>
          <w:sz w:val="36"/>
        </w:rPr>
        <w:t xml:space="preserve">x vyšší než bez </w:t>
      </w:r>
      <w:proofErr w:type="spellStart"/>
      <w:r>
        <w:rPr>
          <w:rFonts w:asciiTheme="minorHAnsi" w:hAnsiTheme="minorHAnsi"/>
          <w:b/>
          <w:sz w:val="36"/>
        </w:rPr>
        <w:t>Casina</w:t>
      </w:r>
      <w:proofErr w:type="spellEnd"/>
      <w:r>
        <w:rPr>
          <w:rFonts w:asciiTheme="minorHAnsi" w:hAnsiTheme="minorHAnsi"/>
          <w:b/>
          <w:sz w:val="36"/>
        </w:rPr>
        <w:t>.</w:t>
      </w:r>
    </w:p>
    <w:p w:rsidR="009862CD" w:rsidRDefault="009862CD">
      <w:pPr>
        <w:rPr>
          <w:rFonts w:asciiTheme="minorHAnsi" w:hAnsiTheme="minorHAnsi"/>
          <w:b/>
          <w:sz w:val="36"/>
        </w:rPr>
      </w:pPr>
    </w:p>
    <w:p w:rsidR="009862CD" w:rsidRDefault="009862CD">
      <w:pPr>
        <w:rPr>
          <w:rFonts w:asciiTheme="minorHAnsi" w:hAnsiTheme="minorHAnsi"/>
          <w:b/>
          <w:sz w:val="36"/>
        </w:rPr>
      </w:pPr>
    </w:p>
    <w:p w:rsidR="009862CD" w:rsidRPr="009862CD" w:rsidRDefault="009862CD">
      <w:pPr>
        <w:rPr>
          <w:rFonts w:asciiTheme="minorHAnsi" w:hAnsiTheme="minorHAnsi" w:cstheme="minorHAnsi"/>
          <w:b/>
          <w:sz w:val="36"/>
        </w:rPr>
      </w:pPr>
      <w:r w:rsidRPr="009862CD">
        <w:rPr>
          <w:rFonts w:asciiTheme="minorHAnsi" w:hAnsiTheme="minorHAnsi"/>
          <w:b/>
          <w:color w:val="4F81BD" w:themeColor="accent1"/>
          <w:sz w:val="36"/>
        </w:rPr>
        <w:t>JIRKOV</w:t>
      </w:r>
      <w:r>
        <w:rPr>
          <w:rFonts w:asciiTheme="minorHAnsi" w:hAnsiTheme="minorHAnsi"/>
          <w:b/>
          <w:sz w:val="36"/>
        </w:rPr>
        <w:t xml:space="preserve"> </w:t>
      </w:r>
      <w:r w:rsidRPr="009862CD">
        <w:rPr>
          <w:rFonts w:asciiTheme="minorHAnsi" w:hAnsiTheme="minorHAnsi" w:cstheme="minorHAnsi"/>
          <w:b/>
          <w:sz w:val="36"/>
          <w:szCs w:val="36"/>
        </w:rPr>
        <w:t xml:space="preserve">- </w:t>
      </w:r>
      <w:r w:rsidRPr="009862CD">
        <w:rPr>
          <w:rFonts w:asciiTheme="minorHAnsi" w:hAnsiTheme="minorHAnsi" w:cstheme="minorHAnsi"/>
          <w:b/>
          <w:color w:val="212529"/>
          <w:sz w:val="36"/>
          <w:szCs w:val="36"/>
        </w:rPr>
        <w:t>5</w:t>
      </w:r>
      <w:r>
        <w:rPr>
          <w:rFonts w:asciiTheme="minorHAnsi" w:hAnsiTheme="minorHAnsi" w:cstheme="minorHAnsi"/>
          <w:b/>
          <w:color w:val="212529"/>
          <w:sz w:val="36"/>
          <w:szCs w:val="36"/>
        </w:rPr>
        <w:t> </w:t>
      </w:r>
      <w:r w:rsidRPr="009862CD">
        <w:rPr>
          <w:rFonts w:asciiTheme="minorHAnsi" w:hAnsiTheme="minorHAnsi" w:cstheme="minorHAnsi"/>
          <w:b/>
          <w:color w:val="212529"/>
          <w:sz w:val="36"/>
          <w:szCs w:val="36"/>
        </w:rPr>
        <w:t>39</w:t>
      </w:r>
      <w:r>
        <w:rPr>
          <w:rFonts w:asciiTheme="minorHAnsi" w:hAnsiTheme="minorHAnsi" w:cstheme="minorHAnsi"/>
          <w:b/>
          <w:color w:val="212529"/>
          <w:sz w:val="36"/>
          <w:szCs w:val="36"/>
        </w:rPr>
        <w:t xml:space="preserve">6,8 tis. </w:t>
      </w:r>
      <w:r w:rsidRPr="009862CD">
        <w:rPr>
          <w:rFonts w:asciiTheme="minorHAnsi" w:hAnsiTheme="minorHAnsi" w:cstheme="minorHAnsi"/>
          <w:b/>
          <w:color w:val="212529"/>
          <w:sz w:val="36"/>
          <w:szCs w:val="36"/>
        </w:rPr>
        <w:t>Kč</w:t>
      </w:r>
    </w:p>
    <w:p w:rsidR="0028493F" w:rsidRDefault="0028493F">
      <w:pPr>
        <w:rPr>
          <w:rFonts w:asciiTheme="minorHAnsi" w:hAnsiTheme="minorHAnsi"/>
          <w:b/>
          <w:sz w:val="36"/>
        </w:rPr>
      </w:pPr>
    </w:p>
    <w:p w:rsidR="0028493F" w:rsidRDefault="0028493F" w:rsidP="0028493F">
      <w:pPr>
        <w:pStyle w:val="Nadpis3"/>
        <w:rPr>
          <w:rFonts w:ascii="Arial" w:hAnsi="Arial" w:cs="Arial"/>
          <w:color w:val="4F81BD" w:themeColor="accent1"/>
          <w:sz w:val="52"/>
        </w:rPr>
      </w:pPr>
      <w:r w:rsidRPr="0028493F">
        <w:rPr>
          <w:rFonts w:ascii="Arial" w:hAnsi="Arial" w:cs="Arial"/>
          <w:color w:val="4F81BD" w:themeColor="accent1"/>
          <w:sz w:val="52"/>
        </w:rPr>
        <w:lastRenderedPageBreak/>
        <w:t>Zdanění hazardu</w:t>
      </w:r>
    </w:p>
    <w:p w:rsidR="0028493F" w:rsidRPr="0028493F" w:rsidRDefault="0028493F" w:rsidP="0028493F"/>
    <w:p w:rsidR="0028493F" w:rsidRPr="0028493F" w:rsidRDefault="0087406A" w:rsidP="0028493F">
      <w:pPr>
        <w:pStyle w:val="Normlnweb"/>
        <w:ind w:left="2124"/>
        <w:rPr>
          <w:rFonts w:ascii="Arial" w:hAnsi="Arial" w:cs="Arial"/>
          <w:sz w:val="44"/>
        </w:rPr>
      </w:pPr>
      <w:r>
        <w:rPr>
          <w:rStyle w:val="Siln"/>
          <w:rFonts w:ascii="Arial" w:hAnsi="Arial" w:cs="Arial"/>
          <w:sz w:val="44"/>
        </w:rPr>
        <w:t xml:space="preserve">Sazby do </w:t>
      </w:r>
      <w:proofErr w:type="gramStart"/>
      <w:r>
        <w:rPr>
          <w:rStyle w:val="Siln"/>
          <w:rFonts w:ascii="Arial" w:hAnsi="Arial" w:cs="Arial"/>
          <w:sz w:val="44"/>
        </w:rPr>
        <w:t>31.12.2019</w:t>
      </w:r>
      <w:proofErr w:type="gramEnd"/>
    </w:p>
    <w:p w:rsidR="0028493F" w:rsidRPr="0028493F" w:rsidRDefault="0028493F" w:rsidP="0028493F">
      <w:pPr>
        <w:numPr>
          <w:ilvl w:val="0"/>
          <w:numId w:val="3"/>
        </w:numPr>
        <w:tabs>
          <w:tab w:val="clear" w:pos="720"/>
          <w:tab w:val="num" w:pos="2844"/>
        </w:tabs>
        <w:spacing w:before="100" w:beforeAutospacing="1" w:after="100" w:afterAutospacing="1"/>
        <w:ind w:left="2844"/>
        <w:rPr>
          <w:rFonts w:ascii="Arial" w:hAnsi="Arial" w:cs="Arial"/>
          <w:sz w:val="36"/>
        </w:rPr>
      </w:pPr>
      <w:r w:rsidRPr="0028493F">
        <w:rPr>
          <w:rFonts w:ascii="Arial" w:hAnsi="Arial" w:cs="Arial"/>
          <w:sz w:val="36"/>
        </w:rPr>
        <w:t>Kurzové sázky a tomboly – 23 %</w:t>
      </w:r>
    </w:p>
    <w:p w:rsidR="0028493F" w:rsidRPr="0028493F" w:rsidRDefault="0028493F" w:rsidP="0028493F">
      <w:pPr>
        <w:numPr>
          <w:ilvl w:val="0"/>
          <w:numId w:val="3"/>
        </w:numPr>
        <w:tabs>
          <w:tab w:val="clear" w:pos="720"/>
          <w:tab w:val="num" w:pos="2844"/>
        </w:tabs>
        <w:spacing w:before="100" w:beforeAutospacing="1" w:after="100" w:afterAutospacing="1"/>
        <w:ind w:left="2844"/>
        <w:rPr>
          <w:rFonts w:ascii="Arial" w:hAnsi="Arial" w:cs="Arial"/>
          <w:sz w:val="36"/>
        </w:rPr>
      </w:pPr>
      <w:r w:rsidRPr="0028493F">
        <w:rPr>
          <w:rFonts w:ascii="Arial" w:hAnsi="Arial" w:cs="Arial"/>
          <w:sz w:val="36"/>
        </w:rPr>
        <w:t>Loterie, binga, živé hry – 23 %</w:t>
      </w:r>
    </w:p>
    <w:p w:rsidR="0028493F" w:rsidRPr="0028493F" w:rsidRDefault="0028493F" w:rsidP="0028493F">
      <w:pPr>
        <w:numPr>
          <w:ilvl w:val="0"/>
          <w:numId w:val="3"/>
        </w:numPr>
        <w:tabs>
          <w:tab w:val="clear" w:pos="720"/>
          <w:tab w:val="num" w:pos="2844"/>
        </w:tabs>
        <w:spacing w:before="100" w:beforeAutospacing="1" w:after="100" w:afterAutospacing="1"/>
        <w:ind w:left="2844"/>
        <w:rPr>
          <w:rFonts w:ascii="Arial" w:hAnsi="Arial" w:cs="Arial"/>
          <w:sz w:val="36"/>
        </w:rPr>
      </w:pPr>
      <w:r w:rsidRPr="0028493F">
        <w:rPr>
          <w:rFonts w:ascii="Arial" w:hAnsi="Arial" w:cs="Arial"/>
          <w:sz w:val="36"/>
        </w:rPr>
        <w:t xml:space="preserve">Výherní terminály – </w:t>
      </w:r>
      <w:r w:rsidR="0087406A">
        <w:rPr>
          <w:rFonts w:ascii="Arial" w:hAnsi="Arial" w:cs="Arial"/>
          <w:sz w:val="36"/>
        </w:rPr>
        <w:t>35</w:t>
      </w:r>
      <w:r w:rsidRPr="0028493F">
        <w:rPr>
          <w:rFonts w:ascii="Arial" w:hAnsi="Arial" w:cs="Arial"/>
          <w:sz w:val="36"/>
        </w:rPr>
        <w:t xml:space="preserve"> %</w:t>
      </w:r>
    </w:p>
    <w:p w:rsidR="0087406A" w:rsidRDefault="0028493F" w:rsidP="0087406A">
      <w:pPr>
        <w:pStyle w:val="Normlnweb"/>
        <w:ind w:left="2124"/>
        <w:rPr>
          <w:rStyle w:val="Siln"/>
          <w:rFonts w:ascii="Arial" w:hAnsi="Arial" w:cs="Arial"/>
          <w:sz w:val="44"/>
        </w:rPr>
      </w:pPr>
      <w:r w:rsidRPr="0028493F">
        <w:rPr>
          <w:rStyle w:val="Siln"/>
          <w:rFonts w:ascii="Arial" w:hAnsi="Arial" w:cs="Arial"/>
          <w:sz w:val="44"/>
        </w:rPr>
        <w:t>Nové sazby</w:t>
      </w:r>
      <w:r w:rsidR="0087406A">
        <w:rPr>
          <w:rStyle w:val="Siln"/>
          <w:rFonts w:ascii="Arial" w:hAnsi="Arial" w:cs="Arial"/>
          <w:sz w:val="44"/>
        </w:rPr>
        <w:t xml:space="preserve"> od </w:t>
      </w:r>
      <w:proofErr w:type="gramStart"/>
      <w:r w:rsidR="0087406A">
        <w:rPr>
          <w:rStyle w:val="Siln"/>
          <w:rFonts w:ascii="Arial" w:hAnsi="Arial" w:cs="Arial"/>
          <w:sz w:val="44"/>
        </w:rPr>
        <w:t>1.1.2020</w:t>
      </w:r>
      <w:proofErr w:type="gramEnd"/>
    </w:p>
    <w:p w:rsidR="0087406A" w:rsidRDefault="0028493F" w:rsidP="00A11F34">
      <w:pPr>
        <w:pStyle w:val="Normlnweb"/>
        <w:numPr>
          <w:ilvl w:val="0"/>
          <w:numId w:val="4"/>
        </w:numPr>
        <w:tabs>
          <w:tab w:val="clear" w:pos="720"/>
          <w:tab w:val="num" w:pos="2844"/>
        </w:tabs>
        <w:ind w:left="2844"/>
        <w:rPr>
          <w:rFonts w:ascii="Arial" w:hAnsi="Arial" w:cs="Arial"/>
          <w:sz w:val="36"/>
        </w:rPr>
      </w:pPr>
      <w:r w:rsidRPr="0087406A">
        <w:rPr>
          <w:rFonts w:ascii="Arial" w:hAnsi="Arial" w:cs="Arial"/>
          <w:sz w:val="36"/>
        </w:rPr>
        <w:t>Kurzové sázky a tomboly – 2</w:t>
      </w:r>
      <w:r w:rsidR="00D62324" w:rsidRPr="0087406A">
        <w:rPr>
          <w:rFonts w:ascii="Arial" w:hAnsi="Arial" w:cs="Arial"/>
          <w:sz w:val="36"/>
        </w:rPr>
        <w:t>5</w:t>
      </w:r>
      <w:r w:rsidRPr="0087406A">
        <w:rPr>
          <w:rFonts w:ascii="Arial" w:hAnsi="Arial" w:cs="Arial"/>
          <w:sz w:val="36"/>
        </w:rPr>
        <w:t xml:space="preserve"> %</w:t>
      </w:r>
    </w:p>
    <w:p w:rsidR="0087406A" w:rsidRPr="0087406A" w:rsidRDefault="0028493F" w:rsidP="00A11F34">
      <w:pPr>
        <w:pStyle w:val="Normlnweb"/>
        <w:numPr>
          <w:ilvl w:val="0"/>
          <w:numId w:val="4"/>
        </w:numPr>
        <w:tabs>
          <w:tab w:val="clear" w:pos="720"/>
          <w:tab w:val="num" w:pos="2844"/>
        </w:tabs>
        <w:ind w:left="2844"/>
        <w:rPr>
          <w:rFonts w:ascii="Arial" w:hAnsi="Arial" w:cs="Arial"/>
          <w:sz w:val="36"/>
        </w:rPr>
      </w:pPr>
      <w:r w:rsidRPr="0087406A">
        <w:rPr>
          <w:rFonts w:ascii="Arial" w:hAnsi="Arial" w:cs="Arial"/>
          <w:sz w:val="36"/>
        </w:rPr>
        <w:t>Loterie</w:t>
      </w:r>
      <w:r w:rsidR="0087406A" w:rsidRPr="0087406A">
        <w:rPr>
          <w:rFonts w:ascii="Arial" w:hAnsi="Arial" w:cs="Arial"/>
          <w:sz w:val="36"/>
        </w:rPr>
        <w:t xml:space="preserve"> – 35 %</w:t>
      </w:r>
      <w:r w:rsidR="0087406A" w:rsidRPr="0087406A">
        <w:rPr>
          <w:rFonts w:ascii="Arial" w:hAnsi="Arial" w:cs="Arial"/>
          <w:sz w:val="36"/>
        </w:rPr>
        <w:tab/>
      </w:r>
    </w:p>
    <w:p w:rsidR="0028493F" w:rsidRPr="0028493F" w:rsidRDefault="0087406A" w:rsidP="0028493F">
      <w:pPr>
        <w:numPr>
          <w:ilvl w:val="0"/>
          <w:numId w:val="4"/>
        </w:numPr>
        <w:tabs>
          <w:tab w:val="clear" w:pos="720"/>
          <w:tab w:val="num" w:pos="2844"/>
        </w:tabs>
        <w:spacing w:before="100" w:beforeAutospacing="1" w:after="100" w:afterAutospacing="1"/>
        <w:ind w:left="2844"/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>B</w:t>
      </w:r>
      <w:r w:rsidR="0028493F" w:rsidRPr="0028493F">
        <w:rPr>
          <w:rFonts w:ascii="Arial" w:hAnsi="Arial" w:cs="Arial"/>
          <w:sz w:val="36"/>
        </w:rPr>
        <w:t xml:space="preserve">inga, živé hry – </w:t>
      </w:r>
      <w:r>
        <w:rPr>
          <w:rFonts w:ascii="Arial" w:hAnsi="Arial" w:cs="Arial"/>
          <w:sz w:val="36"/>
        </w:rPr>
        <w:t>23</w:t>
      </w:r>
      <w:r w:rsidR="0028493F" w:rsidRPr="0028493F">
        <w:rPr>
          <w:rFonts w:ascii="Arial" w:hAnsi="Arial" w:cs="Arial"/>
          <w:sz w:val="36"/>
        </w:rPr>
        <w:t xml:space="preserve"> %</w:t>
      </w:r>
    </w:p>
    <w:p w:rsidR="0028493F" w:rsidRDefault="0028493F" w:rsidP="0028493F">
      <w:pPr>
        <w:numPr>
          <w:ilvl w:val="0"/>
          <w:numId w:val="4"/>
        </w:numPr>
        <w:tabs>
          <w:tab w:val="clear" w:pos="720"/>
          <w:tab w:val="num" w:pos="2844"/>
        </w:tabs>
        <w:spacing w:before="100" w:beforeAutospacing="1" w:after="100" w:afterAutospacing="1"/>
        <w:ind w:left="2844"/>
        <w:rPr>
          <w:rFonts w:ascii="Arial" w:hAnsi="Arial" w:cs="Arial"/>
          <w:sz w:val="36"/>
        </w:rPr>
      </w:pPr>
      <w:r w:rsidRPr="0028493F">
        <w:rPr>
          <w:rFonts w:ascii="Arial" w:hAnsi="Arial" w:cs="Arial"/>
          <w:sz w:val="36"/>
        </w:rPr>
        <w:t>Výherní terminály – 35 %</w:t>
      </w:r>
    </w:p>
    <w:p w:rsidR="002F4583" w:rsidRDefault="002F4583" w:rsidP="002F4583">
      <w:pPr>
        <w:spacing w:before="100" w:beforeAutospacing="1" w:after="100" w:afterAutospacing="1"/>
        <w:rPr>
          <w:rFonts w:ascii="Arial" w:hAnsi="Arial" w:cs="Arial"/>
          <w:sz w:val="36"/>
        </w:rPr>
      </w:pPr>
    </w:p>
    <w:p w:rsidR="002F4583" w:rsidRDefault="002F4583" w:rsidP="002F4583">
      <w:pPr>
        <w:spacing w:before="100" w:beforeAutospacing="1" w:after="100" w:afterAutospacing="1"/>
        <w:rPr>
          <w:rFonts w:ascii="Arial" w:hAnsi="Arial" w:cs="Arial"/>
          <w:sz w:val="36"/>
        </w:rPr>
      </w:pPr>
    </w:p>
    <w:p w:rsidR="002F4583" w:rsidRDefault="002F4583" w:rsidP="002F4583">
      <w:pPr>
        <w:spacing w:before="100" w:beforeAutospacing="1" w:after="100" w:afterAutospacing="1"/>
        <w:rPr>
          <w:rFonts w:ascii="Arial" w:hAnsi="Arial" w:cs="Arial"/>
          <w:sz w:val="36"/>
        </w:rPr>
      </w:pPr>
    </w:p>
    <w:p w:rsidR="002F4583" w:rsidRDefault="002F4583" w:rsidP="002F4583">
      <w:pPr>
        <w:spacing w:before="100" w:beforeAutospacing="1" w:after="100" w:afterAutospacing="1"/>
        <w:rPr>
          <w:rFonts w:ascii="Arial" w:hAnsi="Arial" w:cs="Arial"/>
          <w:sz w:val="36"/>
        </w:rPr>
      </w:pPr>
    </w:p>
    <w:p w:rsidR="002F4583" w:rsidRPr="00D62324" w:rsidRDefault="002F4583" w:rsidP="002F4583">
      <w:pPr>
        <w:spacing w:before="100" w:beforeAutospacing="1" w:after="100" w:afterAutospacing="1"/>
        <w:rPr>
          <w:rFonts w:ascii="Arial" w:hAnsi="Arial" w:cs="Arial"/>
          <w:b/>
          <w:color w:val="4F81BD" w:themeColor="accent1"/>
          <w:sz w:val="44"/>
        </w:rPr>
      </w:pPr>
      <w:r w:rsidRPr="00D62324">
        <w:rPr>
          <w:rFonts w:ascii="Arial" w:hAnsi="Arial" w:cs="Arial"/>
          <w:b/>
          <w:color w:val="4F81BD" w:themeColor="accent1"/>
          <w:sz w:val="44"/>
        </w:rPr>
        <w:lastRenderedPageBreak/>
        <w:t>Výpočet příjmů</w:t>
      </w:r>
    </w:p>
    <w:p w:rsidR="00D62324" w:rsidRPr="007F5D2E" w:rsidRDefault="00D62324" w:rsidP="00D62324">
      <w:pPr>
        <w:spacing w:before="100" w:beforeAutospacing="1" w:after="100" w:afterAutospacing="1"/>
        <w:jc w:val="both"/>
        <w:rPr>
          <w:rFonts w:asciiTheme="minorHAnsi" w:hAnsiTheme="minorHAnsi" w:cstheme="minorHAnsi"/>
          <w:sz w:val="40"/>
          <w:szCs w:val="44"/>
        </w:rPr>
      </w:pPr>
      <w:r w:rsidRPr="007F5D2E">
        <w:rPr>
          <w:rFonts w:asciiTheme="minorHAnsi" w:hAnsiTheme="minorHAnsi" w:cstheme="minorHAnsi"/>
          <w:sz w:val="40"/>
          <w:szCs w:val="44"/>
        </w:rPr>
        <w:t xml:space="preserve">Část poměrné části dílčího základu odvodu připadající na sázkové hry provozované pomocí povolených interaktivních </w:t>
      </w:r>
      <w:proofErr w:type="spellStart"/>
      <w:r w:rsidRPr="007F5D2E">
        <w:rPr>
          <w:rFonts w:asciiTheme="minorHAnsi" w:hAnsiTheme="minorHAnsi" w:cstheme="minorHAnsi"/>
          <w:sz w:val="40"/>
          <w:szCs w:val="44"/>
        </w:rPr>
        <w:t>videoloterních</w:t>
      </w:r>
      <w:proofErr w:type="spellEnd"/>
      <w:r w:rsidRPr="007F5D2E">
        <w:rPr>
          <w:rFonts w:asciiTheme="minorHAnsi" w:hAnsiTheme="minorHAnsi" w:cstheme="minorHAnsi"/>
          <w:sz w:val="40"/>
          <w:szCs w:val="44"/>
        </w:rPr>
        <w:t xml:space="preserve"> terminálů podle § 2 písm. l) zákona</w:t>
      </w:r>
    </w:p>
    <w:p w:rsidR="00D62324" w:rsidRPr="007F5D2E" w:rsidRDefault="00D62324" w:rsidP="00D62324">
      <w:pPr>
        <w:pStyle w:val="Odstavecseseznamem"/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40"/>
          <w:szCs w:val="44"/>
        </w:rPr>
      </w:pPr>
      <w:r w:rsidRPr="007F5D2E">
        <w:rPr>
          <w:rFonts w:asciiTheme="minorHAnsi" w:hAnsiTheme="minorHAnsi" w:cstheme="minorHAnsi"/>
          <w:b/>
          <w:sz w:val="40"/>
          <w:szCs w:val="44"/>
        </w:rPr>
        <w:t>= úhrn vsazených částek</w:t>
      </w:r>
      <w:r w:rsidR="0087406A" w:rsidRPr="007F5D2E">
        <w:rPr>
          <w:rFonts w:asciiTheme="minorHAnsi" w:hAnsiTheme="minorHAnsi" w:cstheme="minorHAnsi"/>
          <w:b/>
          <w:sz w:val="40"/>
          <w:szCs w:val="44"/>
        </w:rPr>
        <w:t xml:space="preserve"> (</w:t>
      </w:r>
      <w:r w:rsidR="007F5D2E" w:rsidRPr="007F5D2E">
        <w:rPr>
          <w:rFonts w:asciiTheme="minorHAnsi" w:hAnsiTheme="minorHAnsi" w:cstheme="minorHAnsi"/>
          <w:b/>
          <w:sz w:val="40"/>
          <w:szCs w:val="44"/>
        </w:rPr>
        <w:t>IN)</w:t>
      </w:r>
    </w:p>
    <w:p w:rsidR="00D62324" w:rsidRPr="007F5D2E" w:rsidRDefault="00D62324" w:rsidP="00D62324">
      <w:pPr>
        <w:pStyle w:val="Odstavecseseznamem"/>
        <w:spacing w:before="100" w:beforeAutospacing="1" w:after="100" w:afterAutospacing="1"/>
        <w:jc w:val="both"/>
        <w:rPr>
          <w:rFonts w:asciiTheme="minorHAnsi" w:hAnsiTheme="minorHAnsi" w:cstheme="minorHAnsi"/>
          <w:sz w:val="40"/>
          <w:szCs w:val="44"/>
        </w:rPr>
      </w:pPr>
      <w:r w:rsidRPr="007F5D2E">
        <w:rPr>
          <w:rFonts w:asciiTheme="minorHAnsi" w:hAnsiTheme="minorHAnsi" w:cstheme="minorHAnsi"/>
          <w:sz w:val="40"/>
          <w:szCs w:val="44"/>
        </w:rPr>
        <w:t>minus</w:t>
      </w:r>
    </w:p>
    <w:p w:rsidR="00D62324" w:rsidRPr="007F5D2E" w:rsidRDefault="00D62324" w:rsidP="00D62324">
      <w:pPr>
        <w:pStyle w:val="Odstavecseseznamem"/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40"/>
          <w:szCs w:val="44"/>
        </w:rPr>
      </w:pPr>
      <w:r w:rsidRPr="007F5D2E">
        <w:rPr>
          <w:rFonts w:asciiTheme="minorHAnsi" w:hAnsiTheme="minorHAnsi" w:cstheme="minorHAnsi"/>
          <w:b/>
          <w:sz w:val="40"/>
          <w:szCs w:val="44"/>
        </w:rPr>
        <w:t>úhrn vyplacených výher</w:t>
      </w:r>
      <w:r w:rsidR="007F5D2E" w:rsidRPr="007F5D2E">
        <w:rPr>
          <w:rFonts w:asciiTheme="minorHAnsi" w:hAnsiTheme="minorHAnsi" w:cstheme="minorHAnsi"/>
          <w:b/>
          <w:sz w:val="40"/>
          <w:szCs w:val="44"/>
        </w:rPr>
        <w:t xml:space="preserve"> (OUT)</w:t>
      </w:r>
    </w:p>
    <w:p w:rsidR="00D62324" w:rsidRPr="007F5D2E" w:rsidRDefault="00D62324" w:rsidP="00D62324">
      <w:pPr>
        <w:pStyle w:val="Odstavecseseznamem"/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40"/>
          <w:szCs w:val="44"/>
        </w:rPr>
      </w:pPr>
      <w:r w:rsidRPr="007F5D2E">
        <w:rPr>
          <w:rFonts w:asciiTheme="minorHAnsi" w:hAnsiTheme="minorHAnsi" w:cstheme="minorHAnsi"/>
          <w:b/>
          <w:sz w:val="40"/>
          <w:szCs w:val="44"/>
        </w:rPr>
        <w:t>= základ daně z IVT</w:t>
      </w:r>
    </w:p>
    <w:p w:rsidR="00D62324" w:rsidRPr="007F5D2E" w:rsidRDefault="0087406A" w:rsidP="0087406A">
      <w:pPr>
        <w:spacing w:before="100" w:beforeAutospacing="1" w:after="100" w:afterAutospacing="1"/>
        <w:ind w:left="360" w:firstLine="348"/>
        <w:jc w:val="both"/>
        <w:rPr>
          <w:rFonts w:asciiTheme="minorHAnsi" w:hAnsiTheme="minorHAnsi" w:cstheme="minorHAnsi"/>
          <w:b/>
          <w:color w:val="4F81BD" w:themeColor="accent1"/>
          <w:sz w:val="40"/>
          <w:szCs w:val="44"/>
        </w:rPr>
      </w:pPr>
      <w:r w:rsidRPr="007F5D2E">
        <w:rPr>
          <w:rFonts w:asciiTheme="minorHAnsi" w:hAnsiTheme="minorHAnsi" w:cstheme="minorHAnsi"/>
          <w:b/>
          <w:sz w:val="40"/>
          <w:szCs w:val="44"/>
        </w:rPr>
        <w:t xml:space="preserve">x </w:t>
      </w:r>
      <w:r w:rsidR="007F5D2E" w:rsidRPr="007F5D2E">
        <w:rPr>
          <w:rFonts w:asciiTheme="minorHAnsi" w:hAnsiTheme="minorHAnsi" w:cstheme="minorHAnsi"/>
          <w:b/>
          <w:sz w:val="40"/>
          <w:szCs w:val="44"/>
        </w:rPr>
        <w:t>s</w:t>
      </w:r>
      <w:r w:rsidR="00D62324" w:rsidRPr="007F5D2E">
        <w:rPr>
          <w:rFonts w:asciiTheme="minorHAnsi" w:hAnsiTheme="minorHAnsi" w:cstheme="minorHAnsi"/>
          <w:b/>
          <w:sz w:val="40"/>
          <w:szCs w:val="44"/>
        </w:rPr>
        <w:t xml:space="preserve">azba daně </w:t>
      </w:r>
      <w:r w:rsidRPr="007F5D2E">
        <w:rPr>
          <w:rFonts w:asciiTheme="minorHAnsi" w:hAnsiTheme="minorHAnsi" w:cstheme="minorHAnsi"/>
          <w:b/>
          <w:sz w:val="40"/>
          <w:szCs w:val="44"/>
        </w:rPr>
        <w:t>35</w:t>
      </w:r>
      <w:r w:rsidR="00D62324" w:rsidRPr="007F5D2E">
        <w:rPr>
          <w:rFonts w:asciiTheme="minorHAnsi" w:hAnsiTheme="minorHAnsi" w:cstheme="minorHAnsi"/>
          <w:b/>
          <w:sz w:val="40"/>
          <w:szCs w:val="44"/>
        </w:rPr>
        <w:t>%</w:t>
      </w:r>
      <w:r w:rsidR="007F5D2E" w:rsidRPr="007F5D2E">
        <w:rPr>
          <w:rFonts w:asciiTheme="minorHAnsi" w:hAnsiTheme="minorHAnsi" w:cstheme="minorHAnsi"/>
          <w:b/>
          <w:sz w:val="40"/>
          <w:szCs w:val="44"/>
        </w:rPr>
        <w:t xml:space="preserve"> (TAX IN – OUT)</w:t>
      </w:r>
    </w:p>
    <w:p w:rsidR="00D62324" w:rsidRPr="007F5D2E" w:rsidRDefault="00D62324" w:rsidP="00D62324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4F81BD" w:themeColor="accent1"/>
          <w:sz w:val="40"/>
          <w:szCs w:val="44"/>
        </w:rPr>
      </w:pPr>
      <w:r w:rsidRPr="007F5D2E">
        <w:rPr>
          <w:rFonts w:asciiTheme="minorHAnsi" w:hAnsiTheme="minorHAnsi" w:cstheme="minorHAnsi"/>
          <w:b/>
          <w:color w:val="4F81BD" w:themeColor="accent1"/>
          <w:sz w:val="40"/>
          <w:szCs w:val="44"/>
        </w:rPr>
        <w:t>+ pevná část odvodu 80 Kč</w:t>
      </w:r>
      <w:r w:rsidR="007F5D2E" w:rsidRPr="007F5D2E">
        <w:rPr>
          <w:rFonts w:asciiTheme="minorHAnsi" w:hAnsiTheme="minorHAnsi" w:cstheme="minorHAnsi"/>
          <w:b/>
          <w:color w:val="4F81BD" w:themeColor="accent1"/>
          <w:sz w:val="40"/>
          <w:szCs w:val="44"/>
        </w:rPr>
        <w:t>/přístroj/den</w:t>
      </w:r>
      <w:r w:rsidRPr="007F5D2E">
        <w:rPr>
          <w:rFonts w:asciiTheme="minorHAnsi" w:hAnsiTheme="minorHAnsi" w:cstheme="minorHAnsi"/>
          <w:b/>
          <w:color w:val="4F81BD" w:themeColor="accent1"/>
          <w:sz w:val="40"/>
          <w:szCs w:val="44"/>
        </w:rPr>
        <w:t xml:space="preserve"> </w:t>
      </w:r>
    </w:p>
    <w:p w:rsidR="009428B6" w:rsidRPr="007F5D2E" w:rsidRDefault="0087406A" w:rsidP="007F5D2E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4F81BD" w:themeColor="accent1"/>
          <w:sz w:val="40"/>
          <w:szCs w:val="44"/>
        </w:rPr>
      </w:pPr>
      <w:r w:rsidRPr="007F5D2E">
        <w:rPr>
          <w:rFonts w:asciiTheme="minorHAnsi" w:hAnsiTheme="minorHAnsi" w:cstheme="minorHAnsi"/>
          <w:b/>
          <w:color w:val="4F81BD" w:themeColor="accent1"/>
          <w:sz w:val="40"/>
          <w:szCs w:val="44"/>
        </w:rPr>
        <w:t>Rozdělení: 65% rozpočty obcí, 35% stát</w:t>
      </w:r>
    </w:p>
    <w:p w:rsidR="007F5D2E" w:rsidRDefault="007F5D2E" w:rsidP="007F5D2E">
      <w:pPr>
        <w:spacing w:before="100" w:beforeAutospacing="1" w:after="100" w:afterAutospacing="1"/>
        <w:jc w:val="both"/>
        <w:rPr>
          <w:rStyle w:val="Siln"/>
          <w:rFonts w:asciiTheme="minorHAnsi" w:hAnsiTheme="minorHAnsi" w:cstheme="minorHAnsi"/>
          <w:sz w:val="32"/>
          <w:szCs w:val="28"/>
        </w:rPr>
      </w:pPr>
      <w:r w:rsidRPr="007F5D2E">
        <w:rPr>
          <w:rFonts w:asciiTheme="minorHAnsi" w:hAnsiTheme="minorHAnsi" w:cstheme="minorHAnsi"/>
          <w:b/>
          <w:color w:val="4F81BD" w:themeColor="accent1"/>
          <w:sz w:val="32"/>
          <w:szCs w:val="28"/>
        </w:rPr>
        <w:t>Podíl města je dán poměrem součtu herních pozic jednotlivých povolených koncových zařízení na území dané obce</w:t>
      </w:r>
      <w:r w:rsidRPr="007F5D2E">
        <w:rPr>
          <w:rFonts w:asciiTheme="minorHAnsi" w:hAnsiTheme="minorHAnsi" w:cstheme="minorHAnsi"/>
          <w:color w:val="4F81BD" w:themeColor="accent1"/>
          <w:sz w:val="32"/>
          <w:szCs w:val="28"/>
        </w:rPr>
        <w:t xml:space="preserve"> </w:t>
      </w:r>
      <w:r w:rsidRPr="007F5D2E">
        <w:rPr>
          <w:rFonts w:asciiTheme="minorHAnsi" w:hAnsiTheme="minorHAnsi" w:cstheme="minorHAnsi"/>
          <w:sz w:val="32"/>
          <w:szCs w:val="28"/>
        </w:rPr>
        <w:t xml:space="preserve">k prvnímu dni bezprostředně předcházejícího zdaňovacího období </w:t>
      </w:r>
      <w:r w:rsidRPr="007F5D2E">
        <w:rPr>
          <w:rFonts w:asciiTheme="minorHAnsi" w:hAnsiTheme="minorHAnsi" w:cstheme="minorHAnsi"/>
          <w:b/>
          <w:color w:val="4F81BD" w:themeColor="accent1"/>
          <w:sz w:val="32"/>
          <w:szCs w:val="28"/>
        </w:rPr>
        <w:t>k celkovému součtu herních pozic jednotlivých povolených koncových zařízení</w:t>
      </w:r>
      <w:r w:rsidRPr="007F5D2E">
        <w:rPr>
          <w:rFonts w:asciiTheme="minorHAnsi" w:hAnsiTheme="minorHAnsi" w:cstheme="minorHAnsi"/>
          <w:sz w:val="32"/>
          <w:szCs w:val="28"/>
        </w:rPr>
        <w:t>, které jsou povoleny k prvnímu dni bezprostředně předcházejícího zdaňovacího období</w:t>
      </w:r>
      <w:r>
        <w:rPr>
          <w:rFonts w:asciiTheme="minorHAnsi" w:hAnsiTheme="minorHAnsi" w:cstheme="minorHAnsi"/>
          <w:sz w:val="32"/>
          <w:szCs w:val="28"/>
        </w:rPr>
        <w:t xml:space="preserve"> (čtvrtletí)</w:t>
      </w:r>
      <w:r w:rsidRPr="007F5D2E">
        <w:rPr>
          <w:rFonts w:asciiTheme="minorHAnsi" w:hAnsiTheme="minorHAnsi" w:cstheme="minorHAnsi"/>
          <w:sz w:val="32"/>
          <w:szCs w:val="28"/>
        </w:rPr>
        <w:t xml:space="preserve">. </w:t>
      </w:r>
      <w:r w:rsidRPr="007F5D2E">
        <w:rPr>
          <w:rStyle w:val="Siln"/>
          <w:rFonts w:asciiTheme="minorHAnsi" w:hAnsiTheme="minorHAnsi" w:cstheme="minorHAnsi"/>
          <w:sz w:val="32"/>
          <w:szCs w:val="28"/>
        </w:rPr>
        <w:t>Nárok podílu na celostátním hrubém výnosu daně z technických her náleží tedy pouze těm obcím, které se na tomto výnosu podílejí.</w:t>
      </w:r>
    </w:p>
    <w:p w:rsidR="00336B1E" w:rsidRDefault="00336B1E" w:rsidP="007F5D2E">
      <w:pPr>
        <w:spacing w:before="100" w:beforeAutospacing="1" w:after="100" w:afterAutospacing="1"/>
        <w:jc w:val="both"/>
        <w:rPr>
          <w:rStyle w:val="Siln"/>
          <w:rFonts w:asciiTheme="minorHAnsi" w:hAnsiTheme="minorHAnsi" w:cstheme="minorHAnsi"/>
          <w:sz w:val="32"/>
          <w:szCs w:val="28"/>
        </w:rPr>
      </w:pPr>
    </w:p>
    <w:p w:rsidR="00336B1E" w:rsidRPr="00336B1E" w:rsidRDefault="00336B1E" w:rsidP="007F5D2E">
      <w:pPr>
        <w:spacing w:before="100" w:beforeAutospacing="1" w:after="100" w:afterAutospacing="1"/>
        <w:jc w:val="both"/>
        <w:rPr>
          <w:rStyle w:val="Siln"/>
          <w:rFonts w:asciiTheme="minorHAnsi" w:hAnsiTheme="minorHAnsi" w:cstheme="minorHAnsi"/>
          <w:color w:val="4F81BD" w:themeColor="accent1"/>
          <w:sz w:val="44"/>
          <w:szCs w:val="28"/>
        </w:rPr>
      </w:pPr>
      <w:r w:rsidRPr="00336B1E">
        <w:rPr>
          <w:rStyle w:val="Siln"/>
          <w:rFonts w:asciiTheme="minorHAnsi" w:hAnsiTheme="minorHAnsi" w:cstheme="minorHAnsi"/>
          <w:color w:val="4F81BD" w:themeColor="accent1"/>
          <w:sz w:val="44"/>
          <w:szCs w:val="28"/>
        </w:rPr>
        <w:t>Model Chomutov</w:t>
      </w:r>
    </w:p>
    <w:p w:rsidR="00336B1E" w:rsidRDefault="00336B1E" w:rsidP="007F5D2E">
      <w:pPr>
        <w:spacing w:before="100" w:beforeAutospacing="1" w:after="100" w:afterAutospacing="1"/>
        <w:jc w:val="both"/>
        <w:rPr>
          <w:rStyle w:val="Siln"/>
          <w:rFonts w:asciiTheme="minorHAnsi" w:hAnsiTheme="minorHAnsi" w:cstheme="minorHAnsi"/>
          <w:sz w:val="44"/>
          <w:szCs w:val="28"/>
        </w:rPr>
      </w:pPr>
      <w:r>
        <w:rPr>
          <w:rStyle w:val="Siln"/>
          <w:rFonts w:asciiTheme="minorHAnsi" w:hAnsiTheme="minorHAnsi" w:cstheme="minorHAnsi"/>
          <w:sz w:val="44"/>
          <w:szCs w:val="28"/>
        </w:rPr>
        <w:t>Nelze úplně odhadnout, jak vysoké příjmy z hazardu by město mělo.</w:t>
      </w:r>
    </w:p>
    <w:p w:rsidR="00336B1E" w:rsidRDefault="00336B1E" w:rsidP="007F5D2E">
      <w:pPr>
        <w:spacing w:before="100" w:beforeAutospacing="1" w:after="100" w:afterAutospacing="1"/>
        <w:jc w:val="both"/>
        <w:rPr>
          <w:rStyle w:val="Siln"/>
          <w:rFonts w:asciiTheme="minorHAnsi" w:hAnsiTheme="minorHAnsi" w:cstheme="minorHAnsi"/>
          <w:sz w:val="44"/>
          <w:szCs w:val="28"/>
        </w:rPr>
      </w:pPr>
      <w:r>
        <w:rPr>
          <w:rStyle w:val="Siln"/>
          <w:rFonts w:asciiTheme="minorHAnsi" w:hAnsiTheme="minorHAnsi" w:cstheme="minorHAnsi"/>
          <w:sz w:val="44"/>
          <w:szCs w:val="28"/>
        </w:rPr>
        <w:t>Závisí na počtu herních pozic, a čistém výtěžku z loterií /ve své podstatě i na obratu/.</w:t>
      </w:r>
    </w:p>
    <w:p w:rsidR="00336B1E" w:rsidRDefault="00336B1E" w:rsidP="007F5D2E">
      <w:pPr>
        <w:spacing w:before="100" w:beforeAutospacing="1" w:after="100" w:afterAutospacing="1"/>
        <w:jc w:val="both"/>
        <w:rPr>
          <w:rStyle w:val="Siln"/>
          <w:rFonts w:asciiTheme="minorHAnsi" w:hAnsiTheme="minorHAnsi" w:cstheme="minorHAnsi"/>
          <w:sz w:val="44"/>
          <w:szCs w:val="28"/>
        </w:rPr>
      </w:pPr>
      <w:r>
        <w:rPr>
          <w:rStyle w:val="Siln"/>
          <w:rFonts w:asciiTheme="minorHAnsi" w:hAnsiTheme="minorHAnsi" w:cstheme="minorHAnsi"/>
          <w:sz w:val="44"/>
          <w:szCs w:val="28"/>
        </w:rPr>
        <w:t>Doporučujeme maximálně 2 herní prostory ve městě, kde by mohla být zajištěn kontrola loterijního dozoru a dalších dotčených orgánů.</w:t>
      </w:r>
    </w:p>
    <w:p w:rsidR="00336B1E" w:rsidRDefault="00336B1E" w:rsidP="007F5D2E">
      <w:pPr>
        <w:spacing w:before="100" w:beforeAutospacing="1" w:after="100" w:afterAutospacing="1"/>
        <w:jc w:val="both"/>
        <w:rPr>
          <w:rStyle w:val="Siln"/>
          <w:rFonts w:asciiTheme="minorHAnsi" w:hAnsiTheme="minorHAnsi" w:cstheme="minorHAnsi"/>
          <w:sz w:val="44"/>
          <w:szCs w:val="28"/>
        </w:rPr>
      </w:pPr>
      <w:r>
        <w:rPr>
          <w:rStyle w:val="Siln"/>
          <w:rFonts w:asciiTheme="minorHAnsi" w:hAnsiTheme="minorHAnsi" w:cstheme="minorHAnsi"/>
          <w:sz w:val="44"/>
          <w:szCs w:val="28"/>
        </w:rPr>
        <w:t>Podmínky: transparentní soutěž na provozovatele. Další podmínky lze stanovit smluvně. Pokud by se jednalo o objekt města, pak i výnosy z nájemného či lze smluvně domluvit další odvod na veřejně prospěšné účely.</w:t>
      </w:r>
    </w:p>
    <w:p w:rsidR="00336B1E" w:rsidRDefault="00336B1E" w:rsidP="007F5D2E">
      <w:pPr>
        <w:spacing w:before="100" w:beforeAutospacing="1" w:after="100" w:afterAutospacing="1"/>
        <w:jc w:val="both"/>
        <w:rPr>
          <w:rStyle w:val="Siln"/>
          <w:rFonts w:asciiTheme="minorHAnsi" w:hAnsiTheme="minorHAnsi" w:cstheme="minorHAnsi"/>
          <w:sz w:val="44"/>
          <w:szCs w:val="28"/>
        </w:rPr>
      </w:pPr>
      <w:r>
        <w:rPr>
          <w:rStyle w:val="Siln"/>
          <w:rFonts w:asciiTheme="minorHAnsi" w:hAnsiTheme="minorHAnsi" w:cstheme="minorHAnsi"/>
          <w:sz w:val="44"/>
          <w:szCs w:val="28"/>
        </w:rPr>
        <w:t>Před regulací hazardu mělo město výnosy až 35 mil. Kč (dnes zdanění výrazně progresivnější).</w:t>
      </w:r>
    </w:p>
    <w:p w:rsidR="00336B1E" w:rsidRPr="00336B1E" w:rsidRDefault="00336B1E" w:rsidP="007F5D2E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44"/>
          <w:szCs w:val="28"/>
        </w:rPr>
      </w:pPr>
      <w:r>
        <w:rPr>
          <w:rStyle w:val="Siln"/>
          <w:rFonts w:asciiTheme="minorHAnsi" w:hAnsiTheme="minorHAnsi" w:cstheme="minorHAnsi"/>
          <w:sz w:val="44"/>
          <w:szCs w:val="28"/>
        </w:rPr>
        <w:t>Částečně již funguje registr hráčů. Plná funkčnost by měla být od roku 2020.</w:t>
      </w:r>
    </w:p>
    <w:sectPr w:rsidR="00336B1E" w:rsidRPr="00336B1E" w:rsidSect="005E462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D2658"/>
    <w:multiLevelType w:val="multilevel"/>
    <w:tmpl w:val="89AE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511495"/>
    <w:multiLevelType w:val="multilevel"/>
    <w:tmpl w:val="75E8E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F90097"/>
    <w:multiLevelType w:val="hybridMultilevel"/>
    <w:tmpl w:val="832249C8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6484654B"/>
    <w:multiLevelType w:val="hybridMultilevel"/>
    <w:tmpl w:val="747E61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C23AC1"/>
    <w:multiLevelType w:val="hybridMultilevel"/>
    <w:tmpl w:val="6D664F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93CFC"/>
    <w:multiLevelType w:val="hybridMultilevel"/>
    <w:tmpl w:val="95601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62E"/>
    <w:rsid w:val="000420A6"/>
    <w:rsid w:val="000F0091"/>
    <w:rsid w:val="001E7FB0"/>
    <w:rsid w:val="00263486"/>
    <w:rsid w:val="0028493F"/>
    <w:rsid w:val="002F4583"/>
    <w:rsid w:val="00336B1E"/>
    <w:rsid w:val="00392034"/>
    <w:rsid w:val="00450D50"/>
    <w:rsid w:val="005E462E"/>
    <w:rsid w:val="00746142"/>
    <w:rsid w:val="007F5D2E"/>
    <w:rsid w:val="0087406A"/>
    <w:rsid w:val="009428B6"/>
    <w:rsid w:val="009625A6"/>
    <w:rsid w:val="009862CD"/>
    <w:rsid w:val="00AE11F3"/>
    <w:rsid w:val="00B159A1"/>
    <w:rsid w:val="00B3469A"/>
    <w:rsid w:val="00D6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732EB-AFD6-4736-9E14-C0FD3C7A6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3469A"/>
    <w:pPr>
      <w:spacing w:after="0" w:line="240" w:lineRule="auto"/>
    </w:pPr>
    <w:rPr>
      <w:rFonts w:ascii="Times New Roman" w:hAnsi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3469A"/>
    <w:pPr>
      <w:keepNext/>
      <w:jc w:val="center"/>
      <w:outlineLvl w:val="0"/>
    </w:pPr>
    <w:rPr>
      <w:rFonts w:eastAsia="Times New Roman" w:cs="Times New Roman"/>
      <w:b/>
      <w:sz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B3469A"/>
    <w:pPr>
      <w:keepNext/>
      <w:outlineLvl w:val="1"/>
    </w:pPr>
    <w:rPr>
      <w:rFonts w:eastAsia="Times New Roman" w:cs="Times New Roman"/>
      <w:sz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B3469A"/>
    <w:pPr>
      <w:keepNext/>
      <w:outlineLvl w:val="2"/>
    </w:pPr>
    <w:rPr>
      <w:rFonts w:eastAsia="Times New Roman" w:cs="Times New Roman"/>
      <w:b/>
      <w:sz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B3469A"/>
    <w:pPr>
      <w:keepNext/>
      <w:outlineLvl w:val="3"/>
    </w:pPr>
    <w:rPr>
      <w:rFonts w:eastAsia="Times New Roman" w:cs="Times New Roman"/>
      <w:b/>
      <w:i/>
      <w:i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469A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B3469A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B3469A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B3469A"/>
    <w:rPr>
      <w:rFonts w:ascii="Times New Roman" w:eastAsia="Times New Roman" w:hAnsi="Times New Roman" w:cs="Times New Roman"/>
      <w:b/>
      <w:i/>
      <w:iCs/>
      <w:sz w:val="32"/>
      <w:szCs w:val="20"/>
      <w:lang w:eastAsia="cs-CZ"/>
    </w:rPr>
  </w:style>
  <w:style w:type="paragraph" w:styleId="Nzev">
    <w:name w:val="Title"/>
    <w:basedOn w:val="Normln"/>
    <w:link w:val="NzevChar"/>
    <w:qFormat/>
    <w:rsid w:val="00B3469A"/>
    <w:pPr>
      <w:widowControl w:val="0"/>
      <w:jc w:val="center"/>
    </w:pPr>
    <w:rPr>
      <w:rFonts w:eastAsia="Times New Roman" w:cs="Times New Roman"/>
      <w:b/>
      <w:snapToGrid w:val="0"/>
      <w:sz w:val="32"/>
    </w:rPr>
  </w:style>
  <w:style w:type="character" w:customStyle="1" w:styleId="NzevChar">
    <w:name w:val="Název Char"/>
    <w:basedOn w:val="Standardnpsmoodstavce"/>
    <w:link w:val="Nzev"/>
    <w:rsid w:val="00B3469A"/>
    <w:rPr>
      <w:rFonts w:ascii="Times New Roman" w:eastAsia="Times New Roman" w:hAnsi="Times New Roman" w:cs="Times New Roman"/>
      <w:b/>
      <w:snapToGrid w:val="0"/>
      <w:sz w:val="32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B3469A"/>
    <w:pPr>
      <w:jc w:val="center"/>
    </w:pPr>
    <w:rPr>
      <w:rFonts w:eastAsia="Times New Roman" w:cs="Times New Roman"/>
      <w:sz w:val="28"/>
    </w:rPr>
  </w:style>
  <w:style w:type="character" w:customStyle="1" w:styleId="PodnadpisChar">
    <w:name w:val="Podnadpis Char"/>
    <w:basedOn w:val="Standardnpsmoodstavce"/>
    <w:link w:val="Podnadpis"/>
    <w:rsid w:val="00B3469A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3469A"/>
    <w:pPr>
      <w:ind w:left="720"/>
      <w:contextualSpacing/>
    </w:pPr>
    <w:rPr>
      <w:rFonts w:eastAsia="Times New Roman" w:cs="Times New Roman"/>
    </w:rPr>
  </w:style>
  <w:style w:type="character" w:styleId="Siln">
    <w:name w:val="Strong"/>
    <w:basedOn w:val="Standardnpsmoodstavce"/>
    <w:uiPriority w:val="22"/>
    <w:qFormat/>
    <w:rsid w:val="0028493F"/>
    <w:rPr>
      <w:b/>
      <w:bCs/>
    </w:rPr>
  </w:style>
  <w:style w:type="paragraph" w:styleId="Normlnweb">
    <w:name w:val="Normal (Web)"/>
    <w:basedOn w:val="Normln"/>
    <w:uiPriority w:val="99"/>
    <w:unhideWhenUsed/>
    <w:rsid w:val="0028493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2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40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29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49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jpeg"/><Relationship Id="rId5" Type="http://schemas.openxmlformats.org/officeDocument/2006/relationships/image" Target="media/image1.jpg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Se&#353;it2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Se&#353;it2" TargetMode="Externa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Se&#353;it2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500" b="1" i="0" u="none" strike="noStrike" kern="1200" cap="all" spc="100" normalizeH="0" baseline="0">
              <a:solidFill>
                <a:schemeClr val="lt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List1!$C$1</c:f>
              <c:strCache>
                <c:ptCount val="1"/>
                <c:pt idx="0">
                  <c:v>Počet heren</c:v>
                </c:pt>
              </c:strCache>
            </c:strRef>
          </c:tx>
          <c:spPr>
            <a:ln w="25400" cap="rnd">
              <a:solidFill>
                <a:schemeClr val="lt1"/>
              </a:solidFill>
              <a:round/>
            </a:ln>
            <a:effectLst>
              <a:outerShdw dist="25400" dir="2700000" algn="tl" rotWithShape="0">
                <a:schemeClr val="accent1"/>
              </a:outerShdw>
            </a:effectLst>
          </c:spPr>
          <c:marker>
            <c:symbol val="none"/>
          </c:marker>
          <c:dLbls>
            <c:spPr>
              <a:solidFill>
                <a:srgbClr val="4F81BD"/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List1!$B$2:$B$12</c:f>
              <c:numCache>
                <c:formatCode>General</c:formatCod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</c:numCache>
            </c:numRef>
          </c:cat>
          <c:val>
            <c:numRef>
              <c:f>List1!$C$2:$C$12</c:f>
              <c:numCache>
                <c:formatCode>General</c:formatCode>
                <c:ptCount val="11"/>
                <c:pt idx="0">
                  <c:v>63</c:v>
                </c:pt>
                <c:pt idx="1">
                  <c:v>53</c:v>
                </c:pt>
                <c:pt idx="2">
                  <c:v>44</c:v>
                </c:pt>
                <c:pt idx="3">
                  <c:v>36</c:v>
                </c:pt>
                <c:pt idx="4">
                  <c:v>23</c:v>
                </c:pt>
                <c:pt idx="5">
                  <c:v>12</c:v>
                </c:pt>
                <c:pt idx="6">
                  <c:v>7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  <c:pt idx="10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486-4A25-90BB-6FCA5B1E57FA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dropLines>
          <c:spPr>
            <a:ln w="9525" cap="flat" cmpd="sng" algn="ctr">
              <a:gradFill>
                <a:gsLst>
                  <a:gs pos="0">
                    <a:schemeClr val="lt1"/>
                  </a:gs>
                  <a:gs pos="100000">
                    <a:schemeClr val="lt1">
                      <a:alpha val="0"/>
                    </a:schemeClr>
                  </a:gs>
                </a:gsLst>
                <a:lin ang="5400000" scaled="0"/>
              </a:gradFill>
              <a:round/>
            </a:ln>
            <a:effectLst/>
          </c:spPr>
        </c:dropLines>
        <c:smooth val="0"/>
        <c:axId val="266718144"/>
        <c:axId val="275169344"/>
      </c:lineChart>
      <c:catAx>
        <c:axId val="2667181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30" baseline="0">
                <a:solidFill>
                  <a:schemeClr val="lt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75169344"/>
        <c:crosses val="autoZero"/>
        <c:auto val="1"/>
        <c:lblAlgn val="ctr"/>
        <c:lblOffset val="100"/>
        <c:noMultiLvlLbl val="0"/>
      </c:catAx>
      <c:valAx>
        <c:axId val="27516934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667181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accent1"/>
    </a:solidFill>
    <a:ln w="9525" cap="flat" cmpd="sng" algn="ctr">
      <a:solidFill>
        <a:schemeClr val="lt1">
          <a:lumMod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500" b="1" i="0" u="none" strike="noStrike" kern="1200" cap="all" spc="100" normalizeH="0" baseline="0">
              <a:solidFill>
                <a:schemeClr val="lt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List1!$D$1</c:f>
              <c:strCache>
                <c:ptCount val="1"/>
                <c:pt idx="0">
                  <c:v>Počet technických herních zařízení</c:v>
                </c:pt>
              </c:strCache>
            </c:strRef>
          </c:tx>
          <c:spPr>
            <a:ln w="25400" cap="rnd">
              <a:solidFill>
                <a:schemeClr val="lt1"/>
              </a:solidFill>
              <a:round/>
            </a:ln>
            <a:effectLst>
              <a:outerShdw dist="25400" dir="2700000" algn="tl" rotWithShape="0">
                <a:schemeClr val="accent1"/>
              </a:outerShdw>
            </a:effectLst>
          </c:spPr>
          <c:marker>
            <c:symbol val="none"/>
          </c:marker>
          <c:dLbls>
            <c:spPr>
              <a:solidFill>
                <a:srgbClr val="4F81BD"/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List1!$B$2:$B$12</c:f>
              <c:numCache>
                <c:formatCode>General</c:formatCode>
                <c:ptCount val="11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  <c:pt idx="10">
                  <c:v>2020</c:v>
                </c:pt>
              </c:numCache>
            </c:numRef>
          </c:cat>
          <c:val>
            <c:numRef>
              <c:f>List1!$D$2:$D$12</c:f>
              <c:numCache>
                <c:formatCode>General</c:formatCode>
                <c:ptCount val="11"/>
                <c:pt idx="0">
                  <c:v>763</c:v>
                </c:pt>
                <c:pt idx="1">
                  <c:v>665</c:v>
                </c:pt>
                <c:pt idx="2">
                  <c:v>468</c:v>
                </c:pt>
                <c:pt idx="3">
                  <c:v>430</c:v>
                </c:pt>
                <c:pt idx="4">
                  <c:v>276</c:v>
                </c:pt>
                <c:pt idx="5">
                  <c:v>30</c:v>
                </c:pt>
                <c:pt idx="6">
                  <c:v>12</c:v>
                </c:pt>
                <c:pt idx="7">
                  <c:v>5</c:v>
                </c:pt>
                <c:pt idx="8">
                  <c:v>3</c:v>
                </c:pt>
                <c:pt idx="9">
                  <c:v>3</c:v>
                </c:pt>
                <c:pt idx="10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121-41B9-BD69-41E873DBFF7A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dropLines>
          <c:spPr>
            <a:ln w="9525" cap="flat" cmpd="sng" algn="ctr">
              <a:gradFill>
                <a:gsLst>
                  <a:gs pos="0">
                    <a:schemeClr val="lt1"/>
                  </a:gs>
                  <a:gs pos="100000">
                    <a:schemeClr val="lt1">
                      <a:alpha val="0"/>
                    </a:schemeClr>
                  </a:gs>
                </a:gsLst>
                <a:lin ang="5400000" scaled="0"/>
              </a:gradFill>
              <a:round/>
            </a:ln>
            <a:effectLst/>
          </c:spPr>
        </c:dropLines>
        <c:smooth val="0"/>
        <c:axId val="265940560"/>
        <c:axId val="265941120"/>
      </c:lineChart>
      <c:catAx>
        <c:axId val="265940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30" baseline="0">
                <a:solidFill>
                  <a:schemeClr val="lt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65941120"/>
        <c:crosses val="autoZero"/>
        <c:auto val="1"/>
        <c:lblAlgn val="ctr"/>
        <c:lblOffset val="100"/>
        <c:noMultiLvlLbl val="0"/>
      </c:catAx>
      <c:valAx>
        <c:axId val="265941120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659405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accent1"/>
    </a:solidFill>
    <a:ln w="9525" cap="flat" cmpd="sng" algn="ctr">
      <a:solidFill>
        <a:schemeClr val="lt1">
          <a:lumMod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500" b="1" i="0" u="none" strike="noStrike" kern="1200" cap="all" spc="100" normalizeH="0" baseline="0">
                <a:solidFill>
                  <a:schemeClr val="lt1"/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Výnosy z hazardu v mil. Kč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500" b="1" i="0" u="none" strike="noStrike" kern="1200" cap="all" spc="100" normalizeH="0" baseline="0">
              <a:solidFill>
                <a:schemeClr val="lt1"/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List1!$E$2:$E$12</c:f>
              <c:strCache>
                <c:ptCount val="11"/>
                <c:pt idx="0">
                  <c:v>3,4</c:v>
                </c:pt>
                <c:pt idx="1">
                  <c:v>9,2</c:v>
                </c:pt>
                <c:pt idx="2">
                  <c:v>25,5</c:v>
                </c:pt>
                <c:pt idx="3">
                  <c:v>35,0</c:v>
                </c:pt>
                <c:pt idx="4">
                  <c:v>30,9</c:v>
                </c:pt>
                <c:pt idx="5">
                  <c:v>14,9</c:v>
                </c:pt>
                <c:pt idx="6">
                  <c:v>6,5</c:v>
                </c:pt>
                <c:pt idx="7">
                  <c:v>4,7</c:v>
                </c:pt>
                <c:pt idx="8">
                  <c:v>4,9</c:v>
                </c:pt>
                <c:pt idx="9">
                  <c:v>4,7</c:v>
                </c:pt>
              </c:strCache>
            </c:strRef>
          </c:tx>
          <c:spPr>
            <a:ln w="25400" cap="rnd">
              <a:solidFill>
                <a:schemeClr val="lt1"/>
              </a:solidFill>
              <a:round/>
            </a:ln>
            <a:effectLst>
              <a:outerShdw dist="25400" dir="2700000" algn="tl" rotWithShape="0">
                <a:schemeClr val="accent1"/>
              </a:outerShdw>
            </a:effectLst>
          </c:spPr>
          <c:marker>
            <c:symbol val="none"/>
          </c:marker>
          <c:dLbls>
            <c:numFmt formatCode="#,##0.0" sourceLinked="0"/>
            <c:spPr>
              <a:solidFill>
                <a:srgbClr val="4F81BD"/>
              </a:solidFill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List1!$B$2:$B$12</c:f>
              <c:numCache>
                <c:formatCode>General</c:formatCode>
                <c:ptCount val="10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  <c:pt idx="9">
                  <c:v>2019</c:v>
                </c:pt>
              </c:numCache>
              <c:extLst/>
            </c:numRef>
          </c:cat>
          <c:val>
            <c:numRef>
              <c:f>List1!$E$2:$E$12</c:f>
              <c:numCache>
                <c:formatCode>#\ ##0.0</c:formatCode>
                <c:ptCount val="10"/>
                <c:pt idx="0">
                  <c:v>3.3951920000000002</c:v>
                </c:pt>
                <c:pt idx="1">
                  <c:v>9.1573630000000001</c:v>
                </c:pt>
                <c:pt idx="2">
                  <c:v>25.481639090000002</c:v>
                </c:pt>
                <c:pt idx="3">
                  <c:v>34.980704299999999</c:v>
                </c:pt>
                <c:pt idx="4">
                  <c:v>30.900827039999999</c:v>
                </c:pt>
                <c:pt idx="5">
                  <c:v>14.92616612</c:v>
                </c:pt>
                <c:pt idx="6">
                  <c:v>6.4741665999999993</c:v>
                </c:pt>
                <c:pt idx="7">
                  <c:v>4.65614332</c:v>
                </c:pt>
                <c:pt idx="8">
                  <c:v>4.8766264400000008</c:v>
                </c:pt>
                <c:pt idx="9">
                  <c:v>4.6804895700000007</c:v>
                </c:pt>
              </c:numCache>
              <c:extLst/>
            </c:numRef>
          </c:val>
          <c:smooth val="0"/>
          <c:extLst>
            <c:ext xmlns:c16="http://schemas.microsoft.com/office/drawing/2014/chart" uri="{C3380CC4-5D6E-409C-BE32-E72D297353CC}">
              <c16:uniqueId val="{00000000-5D43-4925-BB6D-CFA9EE9FA6EB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dropLines>
          <c:spPr>
            <a:ln w="9525" cap="flat" cmpd="sng" algn="ctr">
              <a:gradFill>
                <a:gsLst>
                  <a:gs pos="0">
                    <a:schemeClr val="lt1"/>
                  </a:gs>
                  <a:gs pos="100000">
                    <a:schemeClr val="lt1">
                      <a:alpha val="0"/>
                    </a:schemeClr>
                  </a:gs>
                </a:gsLst>
                <a:lin ang="5400000" scaled="0"/>
              </a:gradFill>
              <a:round/>
            </a:ln>
            <a:effectLst/>
          </c:spPr>
        </c:dropLines>
        <c:smooth val="0"/>
        <c:axId val="265943360"/>
        <c:axId val="265943920"/>
      </c:lineChart>
      <c:catAx>
        <c:axId val="265943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30" baseline="0">
                <a:solidFill>
                  <a:schemeClr val="lt1"/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65943920"/>
        <c:crosses val="autoZero"/>
        <c:auto val="1"/>
        <c:lblAlgn val="ctr"/>
        <c:lblOffset val="100"/>
        <c:noMultiLvlLbl val="0"/>
      </c:catAx>
      <c:valAx>
        <c:axId val="265943920"/>
        <c:scaling>
          <c:orientation val="minMax"/>
        </c:scaling>
        <c:delete val="1"/>
        <c:axPos val="l"/>
        <c:numFmt formatCode="#\ ##0.0" sourceLinked="1"/>
        <c:majorTickMark val="none"/>
        <c:minorTickMark val="none"/>
        <c:tickLblPos val="nextTo"/>
        <c:crossAx val="2659433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accent1"/>
    </a:solidFill>
    <a:ln w="9525" cap="flat" cmpd="sng" algn="ctr">
      <a:solidFill>
        <a:schemeClr val="lt1">
          <a:lumMod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38">
  <cs:axisTitle>
    <cs:lnRef idx="0"/>
    <cs:fillRef idx="0"/>
    <cs:effectRef idx="0"/>
    <cs:fontRef idx="minor">
      <a:schemeClr val="lt1"/>
    </cs:fontRef>
    <cs:defRPr sz="900" b="1" kern="1200"/>
  </cs:axisTitle>
  <cs:categoryAxis>
    <cs:lnRef idx="0">
      <cs:styleClr val="0"/>
    </cs:lnRef>
    <cs:fillRef idx="0"/>
    <cs:effectRef idx="0"/>
    <cs:fontRef idx="minor">
      <a:schemeClr val="lt1"/>
    </cs:fontRef>
    <cs:defRPr sz="900" kern="1200" spc="30" baseline="0"/>
  </cs:categoryAxis>
  <cs:chartArea>
    <cs:lnRef idx="0">
      <cs:styleClr val="0"/>
    </cs:lnRef>
    <cs:fillRef idx="0">
      <cs:styleClr val="0"/>
    </cs:fillRef>
    <cs:effectRef idx="0"/>
    <cs:fontRef idx="minor">
      <a:schemeClr val="dk1"/>
    </cs:fontRef>
    <cs:spPr>
      <a:solidFill>
        <a:schemeClr val="phClr"/>
      </a:solidFill>
      <a:ln w="9525" cap="flat" cmpd="sng" algn="ctr">
        <a:solidFill>
          <a:schemeClr val="lt1">
            <a:lumMod val="85000"/>
          </a:schemeClr>
        </a:solidFill>
        <a:round/>
      </a:ln>
    </cs:spPr>
    <cs:defRPr sz="1000" kern="1200"/>
  </cs:chartArea>
  <cs:dataLabel>
    <cs:lnRef idx="0"/>
    <cs:fillRef idx="0">
      <cs:styleClr val="0"/>
    </cs:fillRef>
    <cs:effectRef idx="0"/>
    <cs:fontRef idx="minor">
      <a:schemeClr val="lt1"/>
    </cs:fontRef>
    <cs:spPr>
      <a:solidFill>
        <a:schemeClr val="phClr"/>
      </a:solidFill>
    </cs:spPr>
    <cs:defRPr sz="900" b="1" kern="120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pattFill prst="ltUpDiag">
        <a:fgClr>
          <a:schemeClr val="phClr"/>
        </a:fgClr>
        <a:bgClr>
          <a:schemeClr val="lt1"/>
        </a:bgClr>
      </a:patt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ltUpDiag">
        <a:fgClr>
          <a:schemeClr val="phClr"/>
        </a:fgClr>
        <a:bgClr>
          <a:schemeClr val="lt1"/>
        </a:bgClr>
      </a:pattFill>
    </cs:spPr>
  </cs:dataPoint3D>
  <cs:dataPointLine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25400" cap="rnd">
        <a:solidFill>
          <a:schemeClr val="lt1"/>
        </a:solidFill>
        <a:round/>
      </a:ln>
      <a:effectLst>
        <a:outerShdw dist="25400" dir="2700000" algn="tl" rotWithShape="0">
          <a:schemeClr val="phClr"/>
        </a:outerShdw>
      </a:effectLst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1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>
      <cs:styleClr val="0"/>
    </cs:lnRef>
    <cs:fillRef idx="0"/>
    <cs:effectRef idx="0"/>
    <cs:fontRef idx="minor">
      <a:schemeClr val="lt1"/>
    </cs:fontRef>
    <cs:spPr>
      <a:ln w="9525">
        <a:solidFill>
          <a:schemeClr val="phClr">
            <a:lumMod val="60000"/>
            <a:lumOff val="40000"/>
          </a:schemeClr>
        </a:solidFill>
      </a:ln>
    </cs:spPr>
    <cs:defRPr sz="900" kern="1200"/>
  </cs:dataTable>
  <cs:downBar>
    <cs:lnRef idx="0">
      <cs:styleClr val="0"/>
    </cs:lnRef>
    <cs:fillRef idx="0"/>
    <cs:effectRef idx="0"/>
    <cs:fontRef idx="minor">
      <a:schemeClr val="dk1"/>
    </cs:fontRef>
    <cs:spPr>
      <a:solidFill>
        <a:schemeClr val="dk1">
          <a:lumMod val="35000"/>
          <a:lumOff val="65000"/>
        </a:schemeClr>
      </a:solidFill>
      <a:ln w="9525">
        <a:solidFill>
          <a:schemeClr val="phClr">
            <a:lumMod val="60000"/>
            <a:lumOff val="4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lt1"/>
            </a:gs>
            <a:gs pos="100000">
              <a:schemeClr val="lt1">
                <a:alpha val="0"/>
              </a:schemeClr>
            </a:gs>
          </a:gsLst>
          <a:lin ang="5400000" scaled="0"/>
        </a:gradFill>
        <a:round/>
      </a:ln>
    </cs:spPr>
  </cs:dropLine>
  <cs:errorBar>
    <cs:lnRef idx="0">
      <cs:styleClr val="0"/>
    </cs:lnRef>
    <cs:fillRef idx="0"/>
    <cs:effectRef idx="0"/>
    <cs:fontRef idx="minor">
      <a:schemeClr val="dk1"/>
    </cs:fontRef>
    <cs:spPr>
      <a:ln w="9525">
        <a:solidFill>
          <a:schemeClr val="phClr">
            <a:lumMod val="60000"/>
            <a:lumOff val="40000"/>
          </a:schemeClr>
        </a:solidFill>
        <a:round/>
      </a:ln>
      <a:effectLst>
        <a:glow rad="25400">
          <a:schemeClr val="lt1"/>
        </a:glow>
      </a:effectLst>
    </cs:spPr>
  </cs:errorBar>
  <cs:floor>
    <cs:lnRef idx="0"/>
    <cs:fillRef idx="0"/>
    <cs:effectRef idx="0"/>
    <cs:fontRef idx="minor">
      <a:schemeClr val="dk1"/>
    </cs:fontRef>
  </cs:floor>
  <cs:gridlineMajor>
    <cs:lnRef idx="0">
      <cs:styleClr val="0"/>
    </cs:lnRef>
    <cs:fillRef idx="0"/>
    <cs:effectRef idx="0"/>
    <cs:fontRef idx="minor">
      <a:schemeClr val="dk1"/>
    </cs:fontRef>
    <cs:spPr>
      <a:ln w="9525" cap="flat" cmpd="sng" algn="ctr">
        <a:solidFill>
          <a:schemeClr val="lt1">
            <a:alpha val="25000"/>
          </a:schemeClr>
        </a:solidFill>
        <a:round/>
      </a:ln>
    </cs:spPr>
  </cs:gridlineMajor>
  <cs:gridlineMinor>
    <cs:lnRef idx="0">
      <cs:styleClr val="0"/>
    </cs:lnRef>
    <cs:fillRef idx="0"/>
    <cs:effectRef idx="0"/>
    <cs:fontRef idx="minor">
      <a:schemeClr val="dk1"/>
    </cs:fontRef>
    <cs:spPr>
      <a:ln>
        <a:solidFill>
          <a:schemeClr val="lt1">
            <a:alpha val="10000"/>
          </a:schemeClr>
        </a:solidFill>
      </a:ln>
    </cs:spPr>
  </cs:gridlineMinor>
  <cs:hiLoLine>
    <cs:lnRef idx="0">
      <cs:styleClr val="0"/>
    </cs:lnRef>
    <cs:fillRef idx="0"/>
    <cs:effectRef idx="0"/>
    <cs:fontRef idx="minor">
      <a:schemeClr val="dk1"/>
    </cs:fontRef>
    <cs:spPr>
      <a:ln w="9525">
        <a:solidFill>
          <a:schemeClr val="phClr">
            <a:lumMod val="60000"/>
            <a:lumOff val="40000"/>
          </a:schemeClr>
        </a:solidFill>
        <a:prstDash val="dash"/>
      </a:ln>
    </cs:spPr>
  </cs:hiLoLine>
  <cs:leaderLine>
    <cs:lnRef idx="0">
      <cs:styleClr val="0"/>
    </cs:lnRef>
    <cs:fillRef idx="0"/>
    <cs:effectRef idx="0"/>
    <cs:fontRef idx="minor">
      <a:schemeClr val="dk1"/>
    </cs:fontRef>
    <cs:spPr>
      <a:ln w="9525">
        <a:solidFill>
          <a:schemeClr val="phClr">
            <a:lumMod val="60000"/>
            <a:lumOff val="40000"/>
          </a:schemeClr>
        </a:solidFill>
      </a:ln>
    </cs:spPr>
  </cs:leaderLine>
  <cs:legend>
    <cs:lnRef idx="0"/>
    <cs:fillRef idx="0"/>
    <cs:effectRef idx="0"/>
    <cs:fontRef idx="minor">
      <a:schemeClr val="lt1"/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>
      <cs:styleClr val="0"/>
    </cs:lnRef>
    <cs:fillRef idx="0"/>
    <cs:effectRef idx="0"/>
    <cs:fontRef idx="minor">
      <a:schemeClr val="lt1"/>
    </cs:fontRef>
    <cs:defRPr sz="900" kern="1200"/>
  </cs:seriesAxis>
  <cs:seriesLine>
    <cs:lnRef idx="0">
      <cs:styleClr val="0"/>
    </cs:lnRef>
    <cs:fillRef idx="0"/>
    <cs:effectRef idx="0"/>
    <cs:fontRef idx="minor">
      <a:schemeClr val="dk1"/>
    </cs:fontRef>
    <cs:spPr>
      <a:ln w="9525">
        <a:solidFill>
          <a:schemeClr val="phClr">
            <a:lumMod val="60000"/>
            <a:lumOff val="40000"/>
            <a:tint val="5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lt1"/>
    </cs:fontRef>
    <cs:defRPr sz="1500" b="1" kern="1200" cap="all" spc="100" normalizeH="0" baseline="0"/>
  </cs:title>
  <cs:trendline>
    <cs:lnRef idx="0"/>
    <cs:fillRef idx="0"/>
    <cs:effectRef idx="0"/>
    <cs:fontRef idx="minor">
      <a:schemeClr val="dk1"/>
    </cs:fontRef>
    <cs:spPr>
      <a:ln w="28575" cap="rnd">
        <a:solidFill>
          <a:schemeClr val="lt1">
            <a:alpha val="50000"/>
          </a:schemeClr>
        </a:solidFill>
        <a:round/>
      </a:ln>
    </cs:spPr>
  </cs:trendline>
  <cs:trendlineLabel>
    <cs:lnRef idx="0"/>
    <cs:fillRef idx="0"/>
    <cs:effectRef idx="0"/>
    <cs:fontRef idx="minor">
      <a:schemeClr val="lt1"/>
    </cs:fontRef>
    <cs:defRPr sz="900" kern="1200"/>
  </cs:trendlineLabel>
  <cs:upBar>
    <cs:lnRef idx="0">
      <cs:styleClr val="0"/>
    </cs:lnRef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ln w="9525">
        <a:solidFill>
          <a:schemeClr val="phClr">
            <a:lumMod val="60000"/>
            <a:lumOff val="40000"/>
          </a:schemeClr>
        </a:solidFill>
      </a:ln>
    </cs:spPr>
  </cs:upBar>
  <cs:valueAxis>
    <cs:lnRef idx="0"/>
    <cs:fillRef idx="0"/>
    <cs:effectRef idx="0"/>
    <cs:fontRef idx="minor">
      <a:schemeClr val="lt1"/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38">
  <cs:axisTitle>
    <cs:lnRef idx="0"/>
    <cs:fillRef idx="0"/>
    <cs:effectRef idx="0"/>
    <cs:fontRef idx="minor">
      <a:schemeClr val="lt1"/>
    </cs:fontRef>
    <cs:defRPr sz="900" b="1" kern="1200"/>
  </cs:axisTitle>
  <cs:categoryAxis>
    <cs:lnRef idx="0">
      <cs:styleClr val="0"/>
    </cs:lnRef>
    <cs:fillRef idx="0"/>
    <cs:effectRef idx="0"/>
    <cs:fontRef idx="minor">
      <a:schemeClr val="lt1"/>
    </cs:fontRef>
    <cs:defRPr sz="900" kern="1200" spc="30" baseline="0"/>
  </cs:categoryAxis>
  <cs:chartArea>
    <cs:lnRef idx="0">
      <cs:styleClr val="0"/>
    </cs:lnRef>
    <cs:fillRef idx="0">
      <cs:styleClr val="0"/>
    </cs:fillRef>
    <cs:effectRef idx="0"/>
    <cs:fontRef idx="minor">
      <a:schemeClr val="dk1"/>
    </cs:fontRef>
    <cs:spPr>
      <a:solidFill>
        <a:schemeClr val="phClr"/>
      </a:solidFill>
      <a:ln w="9525" cap="flat" cmpd="sng" algn="ctr">
        <a:solidFill>
          <a:schemeClr val="lt1">
            <a:lumMod val="85000"/>
          </a:schemeClr>
        </a:solidFill>
        <a:round/>
      </a:ln>
    </cs:spPr>
    <cs:defRPr sz="1000" kern="1200"/>
  </cs:chartArea>
  <cs:dataLabel>
    <cs:lnRef idx="0"/>
    <cs:fillRef idx="0">
      <cs:styleClr val="0"/>
    </cs:fillRef>
    <cs:effectRef idx="0"/>
    <cs:fontRef idx="minor">
      <a:schemeClr val="lt1"/>
    </cs:fontRef>
    <cs:spPr>
      <a:solidFill>
        <a:schemeClr val="phClr"/>
      </a:solidFill>
    </cs:spPr>
    <cs:defRPr sz="900" b="1" kern="120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pattFill prst="ltUpDiag">
        <a:fgClr>
          <a:schemeClr val="phClr"/>
        </a:fgClr>
        <a:bgClr>
          <a:schemeClr val="lt1"/>
        </a:bgClr>
      </a:patt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ltUpDiag">
        <a:fgClr>
          <a:schemeClr val="phClr"/>
        </a:fgClr>
        <a:bgClr>
          <a:schemeClr val="lt1"/>
        </a:bgClr>
      </a:pattFill>
    </cs:spPr>
  </cs:dataPoint3D>
  <cs:dataPointLine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25400" cap="rnd">
        <a:solidFill>
          <a:schemeClr val="lt1"/>
        </a:solidFill>
        <a:round/>
      </a:ln>
      <a:effectLst>
        <a:outerShdw dist="25400" dir="2700000" algn="tl" rotWithShape="0">
          <a:schemeClr val="phClr"/>
        </a:outerShdw>
      </a:effectLst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1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>
      <cs:styleClr val="0"/>
    </cs:lnRef>
    <cs:fillRef idx="0"/>
    <cs:effectRef idx="0"/>
    <cs:fontRef idx="minor">
      <a:schemeClr val="lt1"/>
    </cs:fontRef>
    <cs:spPr>
      <a:ln w="9525">
        <a:solidFill>
          <a:schemeClr val="phClr">
            <a:lumMod val="60000"/>
            <a:lumOff val="40000"/>
          </a:schemeClr>
        </a:solidFill>
      </a:ln>
    </cs:spPr>
    <cs:defRPr sz="900" kern="1200"/>
  </cs:dataTable>
  <cs:downBar>
    <cs:lnRef idx="0">
      <cs:styleClr val="0"/>
    </cs:lnRef>
    <cs:fillRef idx="0"/>
    <cs:effectRef idx="0"/>
    <cs:fontRef idx="minor">
      <a:schemeClr val="dk1"/>
    </cs:fontRef>
    <cs:spPr>
      <a:solidFill>
        <a:schemeClr val="dk1">
          <a:lumMod val="35000"/>
          <a:lumOff val="65000"/>
        </a:schemeClr>
      </a:solidFill>
      <a:ln w="9525">
        <a:solidFill>
          <a:schemeClr val="phClr">
            <a:lumMod val="60000"/>
            <a:lumOff val="4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lt1"/>
            </a:gs>
            <a:gs pos="100000">
              <a:schemeClr val="lt1">
                <a:alpha val="0"/>
              </a:schemeClr>
            </a:gs>
          </a:gsLst>
          <a:lin ang="5400000" scaled="0"/>
        </a:gradFill>
        <a:round/>
      </a:ln>
    </cs:spPr>
  </cs:dropLine>
  <cs:errorBar>
    <cs:lnRef idx="0">
      <cs:styleClr val="0"/>
    </cs:lnRef>
    <cs:fillRef idx="0"/>
    <cs:effectRef idx="0"/>
    <cs:fontRef idx="minor">
      <a:schemeClr val="dk1"/>
    </cs:fontRef>
    <cs:spPr>
      <a:ln w="9525">
        <a:solidFill>
          <a:schemeClr val="phClr">
            <a:lumMod val="60000"/>
            <a:lumOff val="40000"/>
          </a:schemeClr>
        </a:solidFill>
        <a:round/>
      </a:ln>
      <a:effectLst>
        <a:glow rad="25400">
          <a:schemeClr val="lt1"/>
        </a:glow>
      </a:effectLst>
    </cs:spPr>
  </cs:errorBar>
  <cs:floor>
    <cs:lnRef idx="0"/>
    <cs:fillRef idx="0"/>
    <cs:effectRef idx="0"/>
    <cs:fontRef idx="minor">
      <a:schemeClr val="dk1"/>
    </cs:fontRef>
  </cs:floor>
  <cs:gridlineMajor>
    <cs:lnRef idx="0">
      <cs:styleClr val="0"/>
    </cs:lnRef>
    <cs:fillRef idx="0"/>
    <cs:effectRef idx="0"/>
    <cs:fontRef idx="minor">
      <a:schemeClr val="dk1"/>
    </cs:fontRef>
    <cs:spPr>
      <a:ln w="9525" cap="flat" cmpd="sng" algn="ctr">
        <a:solidFill>
          <a:schemeClr val="lt1">
            <a:alpha val="25000"/>
          </a:schemeClr>
        </a:solidFill>
        <a:round/>
      </a:ln>
    </cs:spPr>
  </cs:gridlineMajor>
  <cs:gridlineMinor>
    <cs:lnRef idx="0">
      <cs:styleClr val="0"/>
    </cs:lnRef>
    <cs:fillRef idx="0"/>
    <cs:effectRef idx="0"/>
    <cs:fontRef idx="minor">
      <a:schemeClr val="dk1"/>
    </cs:fontRef>
    <cs:spPr>
      <a:ln>
        <a:solidFill>
          <a:schemeClr val="lt1">
            <a:alpha val="10000"/>
          </a:schemeClr>
        </a:solidFill>
      </a:ln>
    </cs:spPr>
  </cs:gridlineMinor>
  <cs:hiLoLine>
    <cs:lnRef idx="0">
      <cs:styleClr val="0"/>
    </cs:lnRef>
    <cs:fillRef idx="0"/>
    <cs:effectRef idx="0"/>
    <cs:fontRef idx="minor">
      <a:schemeClr val="dk1"/>
    </cs:fontRef>
    <cs:spPr>
      <a:ln w="9525">
        <a:solidFill>
          <a:schemeClr val="phClr">
            <a:lumMod val="60000"/>
            <a:lumOff val="40000"/>
          </a:schemeClr>
        </a:solidFill>
        <a:prstDash val="dash"/>
      </a:ln>
    </cs:spPr>
  </cs:hiLoLine>
  <cs:leaderLine>
    <cs:lnRef idx="0">
      <cs:styleClr val="0"/>
    </cs:lnRef>
    <cs:fillRef idx="0"/>
    <cs:effectRef idx="0"/>
    <cs:fontRef idx="minor">
      <a:schemeClr val="dk1"/>
    </cs:fontRef>
    <cs:spPr>
      <a:ln w="9525">
        <a:solidFill>
          <a:schemeClr val="phClr">
            <a:lumMod val="60000"/>
            <a:lumOff val="40000"/>
          </a:schemeClr>
        </a:solidFill>
      </a:ln>
    </cs:spPr>
  </cs:leaderLine>
  <cs:legend>
    <cs:lnRef idx="0"/>
    <cs:fillRef idx="0"/>
    <cs:effectRef idx="0"/>
    <cs:fontRef idx="minor">
      <a:schemeClr val="lt1"/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>
      <cs:styleClr val="0"/>
    </cs:lnRef>
    <cs:fillRef idx="0"/>
    <cs:effectRef idx="0"/>
    <cs:fontRef idx="minor">
      <a:schemeClr val="lt1"/>
    </cs:fontRef>
    <cs:defRPr sz="900" kern="1200"/>
  </cs:seriesAxis>
  <cs:seriesLine>
    <cs:lnRef idx="0">
      <cs:styleClr val="0"/>
    </cs:lnRef>
    <cs:fillRef idx="0"/>
    <cs:effectRef idx="0"/>
    <cs:fontRef idx="minor">
      <a:schemeClr val="dk1"/>
    </cs:fontRef>
    <cs:spPr>
      <a:ln w="9525">
        <a:solidFill>
          <a:schemeClr val="phClr">
            <a:lumMod val="60000"/>
            <a:lumOff val="40000"/>
            <a:tint val="5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lt1"/>
    </cs:fontRef>
    <cs:defRPr sz="1500" b="1" kern="1200" cap="all" spc="100" normalizeH="0" baseline="0"/>
  </cs:title>
  <cs:trendline>
    <cs:lnRef idx="0"/>
    <cs:fillRef idx="0"/>
    <cs:effectRef idx="0"/>
    <cs:fontRef idx="minor">
      <a:schemeClr val="dk1"/>
    </cs:fontRef>
    <cs:spPr>
      <a:ln w="28575" cap="rnd">
        <a:solidFill>
          <a:schemeClr val="lt1">
            <a:alpha val="50000"/>
          </a:schemeClr>
        </a:solidFill>
        <a:round/>
      </a:ln>
    </cs:spPr>
  </cs:trendline>
  <cs:trendlineLabel>
    <cs:lnRef idx="0"/>
    <cs:fillRef idx="0"/>
    <cs:effectRef idx="0"/>
    <cs:fontRef idx="minor">
      <a:schemeClr val="lt1"/>
    </cs:fontRef>
    <cs:defRPr sz="900" kern="1200"/>
  </cs:trendlineLabel>
  <cs:upBar>
    <cs:lnRef idx="0">
      <cs:styleClr val="0"/>
    </cs:lnRef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ln w="9525">
        <a:solidFill>
          <a:schemeClr val="phClr">
            <a:lumMod val="60000"/>
            <a:lumOff val="40000"/>
          </a:schemeClr>
        </a:solidFill>
      </a:ln>
    </cs:spPr>
  </cs:upBar>
  <cs:valueAxis>
    <cs:lnRef idx="0"/>
    <cs:fillRef idx="0"/>
    <cs:effectRef idx="0"/>
    <cs:fontRef idx="minor">
      <a:schemeClr val="lt1"/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38">
  <cs:axisTitle>
    <cs:lnRef idx="0"/>
    <cs:fillRef idx="0"/>
    <cs:effectRef idx="0"/>
    <cs:fontRef idx="minor">
      <a:schemeClr val="lt1"/>
    </cs:fontRef>
    <cs:defRPr sz="900" b="1" kern="1200"/>
  </cs:axisTitle>
  <cs:categoryAxis>
    <cs:lnRef idx="0">
      <cs:styleClr val="0"/>
    </cs:lnRef>
    <cs:fillRef idx="0"/>
    <cs:effectRef idx="0"/>
    <cs:fontRef idx="minor">
      <a:schemeClr val="lt1"/>
    </cs:fontRef>
    <cs:defRPr sz="900" kern="1200" spc="30" baseline="0"/>
  </cs:categoryAxis>
  <cs:chartArea>
    <cs:lnRef idx="0">
      <cs:styleClr val="0"/>
    </cs:lnRef>
    <cs:fillRef idx="0">
      <cs:styleClr val="0"/>
    </cs:fillRef>
    <cs:effectRef idx="0"/>
    <cs:fontRef idx="minor">
      <a:schemeClr val="dk1"/>
    </cs:fontRef>
    <cs:spPr>
      <a:solidFill>
        <a:schemeClr val="phClr"/>
      </a:solidFill>
      <a:ln w="9525" cap="flat" cmpd="sng" algn="ctr">
        <a:solidFill>
          <a:schemeClr val="lt1">
            <a:lumMod val="85000"/>
          </a:schemeClr>
        </a:solidFill>
        <a:round/>
      </a:ln>
    </cs:spPr>
    <cs:defRPr sz="1000" kern="1200"/>
  </cs:chartArea>
  <cs:dataLabel>
    <cs:lnRef idx="0"/>
    <cs:fillRef idx="0">
      <cs:styleClr val="0"/>
    </cs:fillRef>
    <cs:effectRef idx="0"/>
    <cs:fontRef idx="minor">
      <a:schemeClr val="lt1"/>
    </cs:fontRef>
    <cs:spPr>
      <a:solidFill>
        <a:schemeClr val="phClr"/>
      </a:solidFill>
    </cs:spPr>
    <cs:defRPr sz="900" b="1" kern="120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pattFill prst="ltUpDiag">
        <a:fgClr>
          <a:schemeClr val="phClr"/>
        </a:fgClr>
        <a:bgClr>
          <a:schemeClr val="lt1"/>
        </a:bgClr>
      </a:patt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ltUpDiag">
        <a:fgClr>
          <a:schemeClr val="phClr"/>
        </a:fgClr>
        <a:bgClr>
          <a:schemeClr val="lt1"/>
        </a:bgClr>
      </a:pattFill>
    </cs:spPr>
  </cs:dataPoint3D>
  <cs:dataPointLine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25400" cap="rnd">
        <a:solidFill>
          <a:schemeClr val="lt1"/>
        </a:solidFill>
        <a:round/>
      </a:ln>
      <a:effectLst>
        <a:outerShdw dist="25400" dir="2700000" algn="tl" rotWithShape="0">
          <a:schemeClr val="phClr"/>
        </a:outerShdw>
      </a:effectLst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1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>
      <cs:styleClr val="0"/>
    </cs:lnRef>
    <cs:fillRef idx="0"/>
    <cs:effectRef idx="0"/>
    <cs:fontRef idx="minor">
      <a:schemeClr val="lt1"/>
    </cs:fontRef>
    <cs:spPr>
      <a:ln w="9525">
        <a:solidFill>
          <a:schemeClr val="phClr">
            <a:lumMod val="60000"/>
            <a:lumOff val="40000"/>
          </a:schemeClr>
        </a:solidFill>
      </a:ln>
    </cs:spPr>
    <cs:defRPr sz="900" kern="1200"/>
  </cs:dataTable>
  <cs:downBar>
    <cs:lnRef idx="0">
      <cs:styleClr val="0"/>
    </cs:lnRef>
    <cs:fillRef idx="0"/>
    <cs:effectRef idx="0"/>
    <cs:fontRef idx="minor">
      <a:schemeClr val="dk1"/>
    </cs:fontRef>
    <cs:spPr>
      <a:solidFill>
        <a:schemeClr val="dk1">
          <a:lumMod val="35000"/>
          <a:lumOff val="65000"/>
        </a:schemeClr>
      </a:solidFill>
      <a:ln w="9525">
        <a:solidFill>
          <a:schemeClr val="phClr">
            <a:lumMod val="60000"/>
            <a:lumOff val="4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lt1"/>
            </a:gs>
            <a:gs pos="100000">
              <a:schemeClr val="lt1">
                <a:alpha val="0"/>
              </a:schemeClr>
            </a:gs>
          </a:gsLst>
          <a:lin ang="5400000" scaled="0"/>
        </a:gradFill>
        <a:round/>
      </a:ln>
    </cs:spPr>
  </cs:dropLine>
  <cs:errorBar>
    <cs:lnRef idx="0">
      <cs:styleClr val="0"/>
    </cs:lnRef>
    <cs:fillRef idx="0"/>
    <cs:effectRef idx="0"/>
    <cs:fontRef idx="minor">
      <a:schemeClr val="dk1"/>
    </cs:fontRef>
    <cs:spPr>
      <a:ln w="9525">
        <a:solidFill>
          <a:schemeClr val="phClr">
            <a:lumMod val="60000"/>
            <a:lumOff val="40000"/>
          </a:schemeClr>
        </a:solidFill>
        <a:round/>
      </a:ln>
      <a:effectLst>
        <a:glow rad="25400">
          <a:schemeClr val="lt1"/>
        </a:glow>
      </a:effectLst>
    </cs:spPr>
  </cs:errorBar>
  <cs:floor>
    <cs:lnRef idx="0"/>
    <cs:fillRef idx="0"/>
    <cs:effectRef idx="0"/>
    <cs:fontRef idx="minor">
      <a:schemeClr val="dk1"/>
    </cs:fontRef>
  </cs:floor>
  <cs:gridlineMajor>
    <cs:lnRef idx="0">
      <cs:styleClr val="0"/>
    </cs:lnRef>
    <cs:fillRef idx="0"/>
    <cs:effectRef idx="0"/>
    <cs:fontRef idx="minor">
      <a:schemeClr val="dk1"/>
    </cs:fontRef>
    <cs:spPr>
      <a:ln w="9525" cap="flat" cmpd="sng" algn="ctr">
        <a:solidFill>
          <a:schemeClr val="lt1">
            <a:alpha val="25000"/>
          </a:schemeClr>
        </a:solidFill>
        <a:round/>
      </a:ln>
    </cs:spPr>
  </cs:gridlineMajor>
  <cs:gridlineMinor>
    <cs:lnRef idx="0">
      <cs:styleClr val="0"/>
    </cs:lnRef>
    <cs:fillRef idx="0"/>
    <cs:effectRef idx="0"/>
    <cs:fontRef idx="minor">
      <a:schemeClr val="dk1"/>
    </cs:fontRef>
    <cs:spPr>
      <a:ln>
        <a:solidFill>
          <a:schemeClr val="lt1">
            <a:alpha val="10000"/>
          </a:schemeClr>
        </a:solidFill>
      </a:ln>
    </cs:spPr>
  </cs:gridlineMinor>
  <cs:hiLoLine>
    <cs:lnRef idx="0">
      <cs:styleClr val="0"/>
    </cs:lnRef>
    <cs:fillRef idx="0"/>
    <cs:effectRef idx="0"/>
    <cs:fontRef idx="minor">
      <a:schemeClr val="dk1"/>
    </cs:fontRef>
    <cs:spPr>
      <a:ln w="9525">
        <a:solidFill>
          <a:schemeClr val="phClr">
            <a:lumMod val="60000"/>
            <a:lumOff val="40000"/>
          </a:schemeClr>
        </a:solidFill>
        <a:prstDash val="dash"/>
      </a:ln>
    </cs:spPr>
  </cs:hiLoLine>
  <cs:leaderLine>
    <cs:lnRef idx="0">
      <cs:styleClr val="0"/>
    </cs:lnRef>
    <cs:fillRef idx="0"/>
    <cs:effectRef idx="0"/>
    <cs:fontRef idx="minor">
      <a:schemeClr val="dk1"/>
    </cs:fontRef>
    <cs:spPr>
      <a:ln w="9525">
        <a:solidFill>
          <a:schemeClr val="phClr">
            <a:lumMod val="60000"/>
            <a:lumOff val="40000"/>
          </a:schemeClr>
        </a:solidFill>
      </a:ln>
    </cs:spPr>
  </cs:leaderLine>
  <cs:legend>
    <cs:lnRef idx="0"/>
    <cs:fillRef idx="0"/>
    <cs:effectRef idx="0"/>
    <cs:fontRef idx="minor">
      <a:schemeClr val="lt1"/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>
      <cs:styleClr val="0"/>
    </cs:lnRef>
    <cs:fillRef idx="0"/>
    <cs:effectRef idx="0"/>
    <cs:fontRef idx="minor">
      <a:schemeClr val="lt1"/>
    </cs:fontRef>
    <cs:defRPr sz="900" kern="1200"/>
  </cs:seriesAxis>
  <cs:seriesLine>
    <cs:lnRef idx="0">
      <cs:styleClr val="0"/>
    </cs:lnRef>
    <cs:fillRef idx="0"/>
    <cs:effectRef idx="0"/>
    <cs:fontRef idx="minor">
      <a:schemeClr val="dk1"/>
    </cs:fontRef>
    <cs:spPr>
      <a:ln w="9525">
        <a:solidFill>
          <a:schemeClr val="phClr">
            <a:lumMod val="60000"/>
            <a:lumOff val="40000"/>
            <a:tint val="5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lt1"/>
    </cs:fontRef>
    <cs:defRPr sz="1500" b="1" kern="1200" cap="all" spc="100" normalizeH="0" baseline="0"/>
  </cs:title>
  <cs:trendline>
    <cs:lnRef idx="0"/>
    <cs:fillRef idx="0"/>
    <cs:effectRef idx="0"/>
    <cs:fontRef idx="minor">
      <a:schemeClr val="dk1"/>
    </cs:fontRef>
    <cs:spPr>
      <a:ln w="28575" cap="rnd">
        <a:solidFill>
          <a:schemeClr val="lt1">
            <a:alpha val="50000"/>
          </a:schemeClr>
        </a:solidFill>
        <a:round/>
      </a:ln>
    </cs:spPr>
  </cs:trendline>
  <cs:trendlineLabel>
    <cs:lnRef idx="0"/>
    <cs:fillRef idx="0"/>
    <cs:effectRef idx="0"/>
    <cs:fontRef idx="minor">
      <a:schemeClr val="lt1"/>
    </cs:fontRef>
    <cs:defRPr sz="900" kern="1200"/>
  </cs:trendlineLabel>
  <cs:upBar>
    <cs:lnRef idx="0">
      <cs:styleClr val="0"/>
    </cs:lnRef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ln w="9525">
        <a:solidFill>
          <a:schemeClr val="phClr">
            <a:lumMod val="60000"/>
            <a:lumOff val="40000"/>
          </a:schemeClr>
        </a:solidFill>
      </a:ln>
    </cs:spPr>
  </cs:upBar>
  <cs:valueAxis>
    <cs:lnRef idx="0"/>
    <cs:fillRef idx="0"/>
    <cs:effectRef idx="0"/>
    <cs:fontRef idx="minor">
      <a:schemeClr val="lt1"/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drawing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0.74527</cdr:x>
      <cdr:y>0.10717</cdr:y>
    </cdr:from>
    <cdr:to>
      <cdr:x>0.96009</cdr:x>
      <cdr:y>0.31651</cdr:y>
    </cdr:to>
    <cdr:pic>
      <cdr:nvPicPr>
        <cdr:cNvPr id="2" name="Obrázek 1"/>
        <cdr:cNvPicPr/>
      </cdr:nvPicPr>
      <cdr:blipFill>
        <a:blip xmlns:a="http://schemas.openxmlformats.org/drawingml/2006/main" xmlns:r="http://schemas.openxmlformats.org/officeDocument/2006/relationships" r:embed="rId1">
          <a:clrChange>
            <a:clrFrom>
              <a:srgbClr val="FFFFFF"/>
            </a:clrFrom>
            <a:clrTo>
              <a:srgbClr val="FFFFFF">
                <a:alpha val="0"/>
              </a:srgbClr>
            </a:clrTo>
          </a:clrChange>
          <a:lum bright="70000" contrast="-70000"/>
          <a:extLst>
            <a:ext uri="{28A0092B-C50C-407E-A947-70E740481C1C}">
              <a14:useLocalDpi xmlns:a14="http://schemas.microsoft.com/office/drawing/2010/main" val="0"/>
            </a:ext>
          </a:extLst>
        </a:blip>
        <a:stretch xmlns:a="http://schemas.openxmlformats.org/drawingml/2006/main">
          <a:fillRect/>
        </a:stretch>
      </cdr:blipFill>
      <cdr:spPr>
        <a:xfrm xmlns:a="http://schemas.openxmlformats.org/drawingml/2006/main">
          <a:off x="6580505" y="546100"/>
          <a:ext cx="1896745" cy="1066800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418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 Jan (Ekonom)</dc:creator>
  <cp:keywords/>
  <dc:description/>
  <cp:lastModifiedBy>Matějková Romana</cp:lastModifiedBy>
  <cp:revision>2</cp:revision>
  <dcterms:created xsi:type="dcterms:W3CDTF">2020-10-23T10:37:00Z</dcterms:created>
  <dcterms:modified xsi:type="dcterms:W3CDTF">2020-10-23T10:37:00Z</dcterms:modified>
</cp:coreProperties>
</file>